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Times New Roman"/>
          <w:sz w:val="32"/>
          <w:szCs w:val="32"/>
        </w:rPr>
      </w:pPr>
      <w:bookmarkStart w:id="0" w:name="_GoBack"/>
      <w:bookmarkEnd w:id="0"/>
      <w:r>
        <w:rPr>
          <w:rFonts w:hint="eastAsia" w:ascii="仿宋" w:hAnsi="仿宋" w:eastAsia="仿宋" w:cs="Times New Roman"/>
          <w:sz w:val="32"/>
          <w:szCs w:val="32"/>
        </w:rPr>
        <w:t>附件</w:t>
      </w:r>
      <w:r>
        <w:rPr>
          <w:rFonts w:ascii="仿宋" w:hAnsi="仿宋" w:eastAsia="仿宋" w:cs="Times New Roman"/>
          <w:sz w:val="32"/>
          <w:szCs w:val="32"/>
        </w:rPr>
        <w:t>1</w:t>
      </w:r>
    </w:p>
    <w:p>
      <w:pPr>
        <w:jc w:val="center"/>
        <w:rPr>
          <w:rFonts w:ascii="宋体" w:hAnsi="宋体" w:eastAsia="宋体"/>
          <w:b/>
          <w:sz w:val="44"/>
          <w:szCs w:val="44"/>
        </w:rPr>
      </w:pPr>
    </w:p>
    <w:p>
      <w:pPr>
        <w:spacing w:line="240" w:lineRule="auto"/>
        <w:jc w:val="center"/>
        <w:rPr>
          <w:rFonts w:ascii="宋体" w:hAnsi="宋体" w:eastAsia="宋体" w:cs="Times New Roman"/>
          <w:b/>
          <w:color w:val="000000"/>
          <w:sz w:val="44"/>
          <w:szCs w:val="44"/>
        </w:rPr>
      </w:pPr>
      <w:r>
        <w:rPr>
          <w:rFonts w:hint="eastAsia" w:ascii="宋体" w:hAnsi="宋体" w:eastAsia="宋体" w:cs="Times New Roman"/>
          <w:b/>
          <w:color w:val="000000"/>
          <w:sz w:val="44"/>
          <w:szCs w:val="44"/>
        </w:rPr>
        <w:t>中国注册税务师协会会员登记办法</w:t>
      </w:r>
    </w:p>
    <w:p>
      <w:pPr>
        <w:spacing w:line="360" w:lineRule="auto"/>
        <w:rPr>
          <w:rFonts w:ascii="仿宋_GB2312" w:eastAsia="仿宋_GB2312"/>
          <w:color w:val="000000" w:themeColor="text1"/>
          <w:sz w:val="18"/>
          <w:szCs w:val="18"/>
          <w14:textFill>
            <w14:solidFill>
              <w14:schemeClr w14:val="tx1"/>
            </w14:solidFill>
          </w14:textFill>
        </w:rPr>
      </w:pPr>
    </w:p>
    <w:p>
      <w:pPr>
        <w:spacing w:line="360" w:lineRule="auto"/>
        <w:ind w:firstLine="643"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第一条</w:t>
      </w:r>
      <w:r>
        <w:rPr>
          <w:rFonts w:hint="eastAsia" w:ascii="仿宋_GB2312" w:eastAsia="仿宋_GB2312"/>
          <w:color w:val="000000" w:themeColor="text1"/>
          <w:sz w:val="32"/>
          <w:szCs w:val="32"/>
          <w14:textFill>
            <w14:solidFill>
              <w14:schemeClr w14:val="tx1"/>
            </w14:solidFill>
          </w14:textFill>
        </w:rPr>
        <w:t xml:space="preserve"> 为做好中国注册税务师协会（以下简称中税协）税务师事务所和税务师会员登记工作，加强行业自律管理，提高对会员的服务水平，推动税务师行业高质量发展，根据国家</w:t>
      </w:r>
      <w:r>
        <w:rPr>
          <w:rFonts w:hint="eastAsia" w:ascii="仿宋_GB2312" w:eastAsia="仿宋_GB2312"/>
          <w:sz w:val="32"/>
          <w:szCs w:val="32"/>
        </w:rPr>
        <w:t>涉税专业服务监管有关规定和</w:t>
      </w:r>
      <w:r>
        <w:rPr>
          <w:rFonts w:hint="eastAsia" w:ascii="仿宋_GB2312" w:eastAsia="仿宋_GB2312"/>
          <w:color w:val="000000" w:themeColor="text1"/>
          <w:sz w:val="32"/>
          <w:szCs w:val="32"/>
          <w14:textFill>
            <w14:solidFill>
              <w14:schemeClr w14:val="tx1"/>
            </w14:solidFill>
          </w14:textFill>
        </w:rPr>
        <w:t>《中国注册税务师协会章程》（以下简称《章程》）的有关要求，制定本办法。</w:t>
      </w:r>
    </w:p>
    <w:p>
      <w:pPr>
        <w:spacing w:line="360" w:lineRule="auto"/>
        <w:ind w:firstLine="643"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 xml:space="preserve">第二条 </w:t>
      </w:r>
      <w:r>
        <w:rPr>
          <w:rFonts w:hint="eastAsia" w:ascii="仿宋_GB2312" w:eastAsia="仿宋_GB2312"/>
          <w:color w:val="000000" w:themeColor="text1"/>
          <w:sz w:val="32"/>
          <w:szCs w:val="32"/>
          <w14:textFill>
            <w14:solidFill>
              <w14:schemeClr w14:val="tx1"/>
            </w14:solidFill>
          </w14:textFill>
        </w:rPr>
        <w:t>按照《章程》规定，中税协会员种类分为单位会员和个人会员。单位会员分为税务师事务所会员和非税务师事务所会员；个人会员分为税务师会员和非税务师会员。本办法所称“会员”，指税务师事务所单位会员和税务师个人会员。</w:t>
      </w:r>
      <w:r>
        <w:rPr>
          <w:rFonts w:hint="eastAsia" w:ascii="仿宋_GB2312" w:hAnsi="宋体" w:eastAsia="仿宋_GB2312" w:cs="宋体"/>
          <w:color w:val="000000" w:themeColor="text1"/>
          <w:kern w:val="0"/>
          <w:sz w:val="32"/>
          <w:szCs w:val="32"/>
          <w14:textFill>
            <w14:solidFill>
              <w14:schemeClr w14:val="tx1"/>
            </w14:solidFill>
          </w14:textFill>
        </w:rPr>
        <w:t>非税务师事务所单位会员和非税务师个人会员由中国注册税务师协会分会管理，另行制定办法。</w:t>
      </w:r>
    </w:p>
    <w:p>
      <w:pPr>
        <w:widowControl/>
        <w:spacing w:line="360" w:lineRule="auto"/>
        <w:ind w:firstLine="630" w:firstLineChars="196"/>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b/>
          <w:bCs/>
          <w:color w:val="000000" w:themeColor="text1"/>
          <w:kern w:val="0"/>
          <w:sz w:val="32"/>
          <w:szCs w:val="32"/>
          <w14:textFill>
            <w14:solidFill>
              <w14:schemeClr w14:val="tx1"/>
            </w14:solidFill>
          </w14:textFill>
        </w:rPr>
        <w:t>第三条</w:t>
      </w:r>
      <w:r>
        <w:rPr>
          <w:rFonts w:ascii="仿宋_GB2312" w:hAnsi="宋体" w:eastAsia="仿宋_GB2312" w:cs="宋体"/>
          <w:b/>
          <w:bCs/>
          <w:color w:val="000000" w:themeColor="text1"/>
          <w:kern w:val="0"/>
          <w:sz w:val="32"/>
          <w:szCs w:val="32"/>
          <w14:textFill>
            <w14:solidFill>
              <w14:schemeClr w14:val="tx1"/>
            </w14:solidFill>
          </w14:textFill>
        </w:rPr>
        <w:t xml:space="preserve"> </w:t>
      </w:r>
      <w:r>
        <w:rPr>
          <w:rFonts w:hint="eastAsia" w:ascii="仿宋_GB2312" w:hAnsi="宋体" w:eastAsia="仿宋_GB2312" w:cs="宋体"/>
          <w:color w:val="000000" w:themeColor="text1"/>
          <w:kern w:val="0"/>
          <w:sz w:val="32"/>
          <w:szCs w:val="32"/>
          <w14:textFill>
            <w14:solidFill>
              <w14:schemeClr w14:val="tx1"/>
            </w14:solidFill>
          </w14:textFill>
        </w:rPr>
        <w:t>中税协负责制定会员登记相关制度，建设和维护会员信息系统，并提供会员信息查询服务。各省、自治区、直辖市和计划单列市注册税务师协会（以下简称地方税协）负责具体办理本地区会员登记等相关工作。</w:t>
      </w:r>
    </w:p>
    <w:p>
      <w:pPr>
        <w:widowControl/>
        <w:spacing w:line="360" w:lineRule="auto"/>
        <w:ind w:firstLine="630" w:firstLineChars="196"/>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b/>
          <w:bCs/>
          <w:color w:val="000000" w:themeColor="text1"/>
          <w:kern w:val="0"/>
          <w:sz w:val="32"/>
          <w:szCs w:val="32"/>
          <w14:textFill>
            <w14:solidFill>
              <w14:schemeClr w14:val="tx1"/>
            </w14:solidFill>
          </w14:textFill>
        </w:rPr>
        <w:t>第四条</w:t>
      </w:r>
      <w:r>
        <w:rPr>
          <w:rFonts w:ascii="仿宋_GB2312" w:hAnsi="宋体" w:eastAsia="仿宋_GB2312" w:cs="宋体"/>
          <w:b/>
          <w:bCs/>
          <w:color w:val="000000" w:themeColor="text1"/>
          <w:kern w:val="0"/>
          <w:sz w:val="32"/>
          <w:szCs w:val="32"/>
          <w14:textFill>
            <w14:solidFill>
              <w14:schemeClr w14:val="tx1"/>
            </w14:solidFill>
          </w14:textFill>
        </w:rPr>
        <w:t xml:space="preserve"> </w:t>
      </w:r>
      <w:r>
        <w:rPr>
          <w:rFonts w:hint="eastAsia" w:ascii="仿宋_GB2312" w:hAnsi="宋体" w:eastAsia="仿宋_GB2312" w:cs="宋体"/>
          <w:color w:val="000000" w:themeColor="text1"/>
          <w:kern w:val="0"/>
          <w:sz w:val="32"/>
          <w:szCs w:val="32"/>
          <w14:textFill>
            <w14:solidFill>
              <w14:schemeClr w14:val="tx1"/>
            </w14:solidFill>
          </w14:textFill>
        </w:rPr>
        <w:t>会员应当自觉遵守法律法规，诚实守信，并接受行业自律管理。</w:t>
      </w:r>
    </w:p>
    <w:p>
      <w:pPr>
        <w:spacing w:line="360" w:lineRule="auto"/>
        <w:ind w:firstLine="643"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 xml:space="preserve">第五条 </w:t>
      </w:r>
      <w:r>
        <w:rPr>
          <w:rFonts w:hint="eastAsia" w:ascii="仿宋_GB2312" w:eastAsia="仿宋_GB2312"/>
          <w:color w:val="000000" w:themeColor="text1"/>
          <w:sz w:val="32"/>
          <w:szCs w:val="32"/>
          <w14:textFill>
            <w14:solidFill>
              <w14:schemeClr w14:val="tx1"/>
            </w14:solidFill>
          </w14:textFill>
        </w:rPr>
        <w:t>税务师事务所会员，是指经税务机关行政登记的税务师事务所；税务师会员，是指取得《中华人民共和国税务师职业资格证书》或《中华人民共和国注册税务师执业资格证书》的人员。</w:t>
      </w:r>
    </w:p>
    <w:p>
      <w:pPr>
        <w:spacing w:line="360" w:lineRule="auto"/>
        <w:ind w:firstLine="643"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第六条</w:t>
      </w:r>
      <w:r>
        <w:rPr>
          <w:rFonts w:ascii="仿宋_GB2312" w:eastAsia="仿宋_GB2312"/>
          <w:b/>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会员入会登记程序包括信息填报及信息核实。</w:t>
      </w:r>
    </w:p>
    <w:p>
      <w:pPr>
        <w:spacing w:line="360" w:lineRule="auto"/>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（一）信息填报。符合规定的申请人通过中税协会员信息系统填写登记信息，向所在地方税协申请办理入会手续。</w:t>
      </w:r>
    </w:p>
    <w:p>
      <w:pPr>
        <w:spacing w:line="360" w:lineRule="auto"/>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（二）信息核实。申请人完成登记信息填报后，应按地方税协要求提交相关证明资料以供信息核实。地方税协对申请人提交的信息和资料核实无误后，为申请人办理入会手续，并打印会员证。</w:t>
      </w:r>
    </w:p>
    <w:p>
      <w:pPr>
        <w:widowControl/>
        <w:spacing w:line="360" w:lineRule="auto"/>
        <w:ind w:firstLine="645"/>
        <w:rPr>
          <w:rFonts w:ascii="仿宋_GB2312" w:eastAsia="仿宋_GB2312"/>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第七条</w:t>
      </w: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第六条所述信息核实相关证明资料如下：</w:t>
      </w:r>
    </w:p>
    <w:p>
      <w:pPr>
        <w:pStyle w:val="10"/>
        <w:widowControl/>
        <w:numPr>
          <w:ilvl w:val="0"/>
          <w:numId w:val="1"/>
        </w:numPr>
        <w:spacing w:line="360" w:lineRule="auto"/>
        <w:ind w:firstLineChars="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申请入会的税务师事务所信息核实资料包括：</w:t>
      </w:r>
    </w:p>
    <w:p>
      <w:pPr>
        <w:widowControl/>
        <w:spacing w:line="360" w:lineRule="auto"/>
        <w:ind w:firstLine="645"/>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1.法人营业执照（或法人登记证）；</w:t>
      </w:r>
    </w:p>
    <w:p>
      <w:pPr>
        <w:widowControl/>
        <w:spacing w:line="360" w:lineRule="auto"/>
        <w:ind w:firstLine="645"/>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2.税务师事务所行政登记证书；</w:t>
      </w:r>
    </w:p>
    <w:p>
      <w:pPr>
        <w:widowControl/>
        <w:spacing w:line="360" w:lineRule="auto"/>
        <w:ind w:firstLine="645"/>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3.法定代表人身份证明（包括身份证及资格证书）；</w:t>
      </w:r>
    </w:p>
    <w:p>
      <w:pPr>
        <w:widowControl/>
        <w:spacing w:line="360" w:lineRule="auto"/>
        <w:ind w:firstLine="645"/>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4.单位会员代表人（联络人）及联系方式；</w:t>
      </w:r>
    </w:p>
    <w:p>
      <w:pPr>
        <w:widowControl/>
        <w:spacing w:line="360" w:lineRule="auto"/>
        <w:ind w:firstLine="645"/>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5.地方税协要求的其他资料。</w:t>
      </w:r>
    </w:p>
    <w:p>
      <w:pPr>
        <w:pStyle w:val="10"/>
        <w:widowControl/>
        <w:numPr>
          <w:ilvl w:val="0"/>
          <w:numId w:val="1"/>
        </w:numPr>
        <w:spacing w:line="360" w:lineRule="auto"/>
        <w:ind w:firstLineChars="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申请入会的税务师信息核实资料包括：</w:t>
      </w:r>
    </w:p>
    <w:p>
      <w:pPr>
        <w:widowControl/>
        <w:spacing w:line="360" w:lineRule="auto"/>
        <w:ind w:left="645"/>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1.个人身份证件；</w:t>
      </w:r>
    </w:p>
    <w:p>
      <w:pPr>
        <w:widowControl/>
        <w:spacing w:line="360" w:lineRule="auto"/>
        <w:ind w:firstLine="645"/>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2.注册税务师或税务师资格证书；</w:t>
      </w:r>
    </w:p>
    <w:p>
      <w:pPr>
        <w:widowControl/>
        <w:spacing w:line="360" w:lineRule="auto"/>
        <w:ind w:firstLine="645"/>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3.地方税协要求的其他资料。</w:t>
      </w:r>
    </w:p>
    <w:p>
      <w:pPr>
        <w:spacing w:line="360" w:lineRule="auto"/>
        <w:ind w:firstLine="643"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第八条</w:t>
      </w: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会员证由中税协统一印制，地方税协发放。会员证作为会员身份资格和享受各项服务的凭据，应当妥善保管。会员证损毁或不慎遗失等，应当及时向地方税协申请补发，地方税协应当给予必要的协助。</w:t>
      </w:r>
    </w:p>
    <w:p>
      <w:pPr>
        <w:spacing w:line="360" w:lineRule="auto"/>
        <w:ind w:firstLine="630" w:firstLineChars="196"/>
        <w:rPr>
          <w:rFonts w:ascii="仿宋_GB2312" w:eastAsia="仿宋_GB2312"/>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第九条</w:t>
      </w:r>
      <w:r>
        <w:rPr>
          <w:rFonts w:hint="eastAsia" w:ascii="仿宋_GB2312" w:eastAsia="仿宋_GB2312"/>
          <w:color w:val="000000" w:themeColor="text1"/>
          <w:sz w:val="32"/>
          <w:szCs w:val="32"/>
          <w14:textFill>
            <w14:solidFill>
              <w14:schemeClr w14:val="tx1"/>
            </w14:solidFill>
          </w14:textFill>
        </w:rPr>
        <w:t>  会员登记信息发生变化的，应当及时通过中税协信息服务平台进行变更。</w:t>
      </w:r>
    </w:p>
    <w:p>
      <w:pPr>
        <w:spacing w:line="360" w:lineRule="auto"/>
        <w:ind w:firstLine="630" w:firstLineChars="196"/>
        <w:rPr>
          <w:rFonts w:ascii="仿宋_GB2312" w:eastAsia="仿宋_GB2312"/>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 xml:space="preserve">第十条 </w:t>
      </w:r>
      <w:r>
        <w:rPr>
          <w:rFonts w:hint="eastAsia" w:ascii="仿宋_GB2312" w:eastAsia="仿宋_GB2312"/>
          <w:color w:val="000000" w:themeColor="text1"/>
          <w:sz w:val="32"/>
          <w:szCs w:val="32"/>
          <w14:textFill>
            <w14:solidFill>
              <w14:schemeClr w14:val="tx1"/>
            </w14:solidFill>
          </w14:textFill>
        </w:rPr>
        <w:t>工作单位登记信息为税务师事务所的税务师登记信息发生变化，在本省内变动的，经双方税务师事务所确认后提交所在地方税协办理；跨省变动的，经转出税务师事务所和所在地方税协确认后，向转入地方税协申请办理。</w:t>
      </w:r>
    </w:p>
    <w:p>
      <w:pPr>
        <w:spacing w:line="360" w:lineRule="auto"/>
        <w:ind w:firstLine="627" w:firstLineChars="196"/>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工作单位登记信息为非税务师事务所的税务师登记信息发生变化，在本省内变动的，直接提交所在地方税协办理；跨省变动的，经转出地方税协确认后，向转入地方税协申请办理。</w:t>
      </w:r>
    </w:p>
    <w:p>
      <w:pPr>
        <w:spacing w:line="360" w:lineRule="auto"/>
        <w:ind w:firstLine="630" w:firstLineChars="196"/>
        <w:rPr>
          <w:rFonts w:ascii="仿宋_GB2312" w:eastAsia="仿宋_GB2312"/>
          <w:color w:val="000000" w:themeColor="text1"/>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第十一条</w:t>
      </w: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会员有下列情形之一的，其相应会员资格终止，应注销会员登记：</w:t>
      </w:r>
    </w:p>
    <w:p>
      <w:pPr>
        <w:widowControl/>
        <w:shd w:val="clear" w:color="auto" w:fill="FFFFFF"/>
        <w:spacing w:line="360" w:lineRule="auto"/>
        <w:ind w:firstLine="480"/>
        <w:jc w:val="left"/>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（一）自愿申请退会的；</w:t>
      </w:r>
    </w:p>
    <w:p>
      <w:pPr>
        <w:widowControl/>
        <w:shd w:val="clear" w:color="auto" w:fill="FFFFFF"/>
        <w:spacing w:line="360" w:lineRule="auto"/>
        <w:ind w:firstLine="480"/>
        <w:jc w:val="left"/>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（二）不再符合本办法第五条规定的会员条件的；</w:t>
      </w:r>
    </w:p>
    <w:p>
      <w:pPr>
        <w:widowControl/>
        <w:shd w:val="clear" w:color="auto" w:fill="FFFFFF"/>
        <w:spacing w:line="360" w:lineRule="auto"/>
        <w:ind w:firstLine="480"/>
        <w:jc w:val="left"/>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（三）不履行《章程》规定会员义务，经通知仍拒不履行的；</w:t>
      </w:r>
    </w:p>
    <w:p>
      <w:pPr>
        <w:widowControl/>
        <w:shd w:val="clear" w:color="auto" w:fill="FFFFFF"/>
        <w:spacing w:line="360" w:lineRule="auto"/>
        <w:ind w:firstLine="480"/>
        <w:jc w:val="left"/>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（四）受到取消会员资格惩戒的。</w:t>
      </w:r>
    </w:p>
    <w:p>
      <w:pPr>
        <w:widowControl/>
        <w:spacing w:line="360" w:lineRule="auto"/>
        <w:ind w:firstLine="645"/>
        <w:rPr>
          <w:rFonts w:ascii="仿宋_GB2312" w:eastAsia="仿宋_GB2312"/>
          <w:color w:val="000000" w:themeColor="text1"/>
          <w:sz w:val="32"/>
          <w:szCs w:val="32"/>
          <w14:textFill>
            <w14:solidFill>
              <w14:schemeClr w14:val="tx1"/>
            </w14:solidFill>
          </w14:textFill>
        </w:rPr>
      </w:pPr>
      <w:r>
        <w:rPr>
          <w:rFonts w:hint="eastAsia" w:ascii="仿宋_GB2312" w:hAnsi="宋体" w:eastAsia="仿宋_GB2312" w:cs="宋体"/>
          <w:b/>
          <w:color w:val="000000" w:themeColor="text1"/>
          <w:kern w:val="0"/>
          <w:sz w:val="32"/>
          <w:szCs w:val="32"/>
          <w14:textFill>
            <w14:solidFill>
              <w14:schemeClr w14:val="tx1"/>
            </w14:solidFill>
          </w14:textFill>
        </w:rPr>
        <w:t>第十二条</w:t>
      </w:r>
      <w:r>
        <w:rPr>
          <w:rFonts w:ascii="仿宋_GB2312" w:hAnsi="宋体" w:eastAsia="仿宋_GB2312" w:cs="宋体"/>
          <w:b/>
          <w:color w:val="000000" w:themeColor="text1"/>
          <w:kern w:val="0"/>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会员自愿退会应向所在地方税协申请注销会员登记。其他会员资格终止情形由地方税协注销其会员登记。</w:t>
      </w:r>
    </w:p>
    <w:p>
      <w:pPr>
        <w:widowControl/>
        <w:spacing w:line="360" w:lineRule="auto"/>
        <w:ind w:firstLine="645"/>
        <w:rPr>
          <w:rFonts w:ascii="仿宋_GB2312" w:eastAsia="仿宋_GB2312"/>
          <w:color w:val="000000" w:themeColor="text1"/>
          <w:sz w:val="32"/>
          <w:szCs w:val="32"/>
          <w14:textFill>
            <w14:solidFill>
              <w14:schemeClr w14:val="tx1"/>
            </w14:solidFill>
          </w14:textFill>
        </w:rPr>
      </w:pPr>
      <w:r>
        <w:rPr>
          <w:rFonts w:hint="eastAsia" w:ascii="仿宋_GB2312" w:hAnsi="宋体" w:eastAsia="仿宋_GB2312" w:cs="宋体"/>
          <w:b/>
          <w:color w:val="000000" w:themeColor="text1"/>
          <w:kern w:val="0"/>
          <w:sz w:val="32"/>
          <w:szCs w:val="32"/>
          <w14:textFill>
            <w14:solidFill>
              <w14:schemeClr w14:val="tx1"/>
            </w14:solidFill>
          </w14:textFill>
        </w:rPr>
        <w:t>第十三条</w:t>
      </w:r>
      <w:r>
        <w:rPr>
          <w:rFonts w:ascii="仿宋_GB2312" w:hAnsi="宋体" w:eastAsia="仿宋_GB2312" w:cs="宋体"/>
          <w:b/>
          <w:color w:val="000000" w:themeColor="text1"/>
          <w:kern w:val="0"/>
          <w:sz w:val="32"/>
          <w:szCs w:val="32"/>
          <w14:textFill>
            <w14:solidFill>
              <w14:schemeClr w14:val="tx1"/>
            </w14:solidFill>
          </w14:textFill>
        </w:rPr>
        <w:t xml:space="preserve"> </w:t>
      </w:r>
      <w:r>
        <w:rPr>
          <w:rFonts w:hint="eastAsia" w:ascii="仿宋_GB2312" w:hAnsi="宋体" w:eastAsia="仿宋_GB2312" w:cs="宋体"/>
          <w:color w:val="000000" w:themeColor="text1"/>
          <w:kern w:val="0"/>
          <w:sz w:val="32"/>
          <w:szCs w:val="32"/>
          <w14:textFill>
            <w14:solidFill>
              <w14:schemeClr w14:val="tx1"/>
            </w14:solidFill>
          </w14:textFill>
        </w:rPr>
        <w:t>港、澳、台地区会员登记及会员证的发放，结合当地</w:t>
      </w:r>
      <w:r>
        <w:rPr>
          <w:rFonts w:hint="eastAsia" w:ascii="仿宋_GB2312" w:eastAsia="仿宋_GB2312"/>
          <w:color w:val="000000" w:themeColor="text1"/>
          <w:sz w:val="32"/>
          <w:szCs w:val="32"/>
          <w14:textFill>
            <w14:solidFill>
              <w14:schemeClr w14:val="tx1"/>
            </w14:solidFill>
          </w14:textFill>
        </w:rPr>
        <w:t>情况另行规定。</w:t>
      </w:r>
    </w:p>
    <w:p>
      <w:pPr>
        <w:widowControl/>
        <w:spacing w:line="360" w:lineRule="auto"/>
        <w:ind w:firstLine="645"/>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b/>
          <w:color w:val="000000" w:themeColor="text1"/>
          <w:kern w:val="0"/>
          <w:sz w:val="32"/>
          <w:szCs w:val="32"/>
          <w14:textFill>
            <w14:solidFill>
              <w14:schemeClr w14:val="tx1"/>
            </w14:solidFill>
          </w14:textFill>
        </w:rPr>
        <w:t>第十四条</w:t>
      </w:r>
      <w:r>
        <w:rPr>
          <w:rFonts w:hint="eastAsia" w:ascii="仿宋_GB2312" w:hAnsi="宋体" w:eastAsia="仿宋_GB2312" w:cs="宋体"/>
          <w:color w:val="000000" w:themeColor="text1"/>
          <w:kern w:val="0"/>
          <w:sz w:val="32"/>
          <w:szCs w:val="32"/>
          <w14:textFill>
            <w14:solidFill>
              <w14:schemeClr w14:val="tx1"/>
            </w14:solidFill>
          </w14:textFill>
        </w:rPr>
        <w:t xml:space="preserve"> 中税协和地方税协可以根据本办法制定相关实施细则和补充规定，经理事会或常务理事会审议通过后实施。</w:t>
      </w:r>
    </w:p>
    <w:p>
      <w:pPr>
        <w:spacing w:line="360" w:lineRule="auto"/>
        <w:ind w:firstLine="630" w:firstLineChars="196"/>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第十五条</w:t>
      </w:r>
      <w:r>
        <w:rPr>
          <w:rFonts w:hint="eastAsia" w:ascii="仿宋_GB2312" w:eastAsia="仿宋_GB2312"/>
          <w:color w:val="000000" w:themeColor="text1"/>
          <w:sz w:val="32"/>
          <w:szCs w:val="32"/>
          <w14:textFill>
            <w14:solidFill>
              <w14:schemeClr w14:val="tx1"/>
            </w14:solidFill>
          </w14:textFill>
        </w:rPr>
        <w:t xml:space="preserve"> </w:t>
      </w:r>
      <w:r>
        <w:rPr>
          <w:rFonts w:hint="eastAsia" w:ascii="仿宋_GB2312" w:hAnsi="宋体" w:eastAsia="仿宋_GB2312" w:cs="宋体"/>
          <w:color w:val="000000" w:themeColor="text1"/>
          <w:kern w:val="0"/>
          <w:sz w:val="32"/>
          <w:szCs w:val="32"/>
          <w14:textFill>
            <w14:solidFill>
              <w14:schemeClr w14:val="tx1"/>
            </w14:solidFill>
          </w14:textFill>
        </w:rPr>
        <w:t>本办法由中税协负责解释。</w:t>
      </w:r>
    </w:p>
    <w:p>
      <w:pPr>
        <w:spacing w:line="360" w:lineRule="auto"/>
        <w:ind w:firstLine="630" w:firstLineChars="196"/>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eastAsia="仿宋_GB2312"/>
          <w:b/>
          <w:color w:val="000000" w:themeColor="text1"/>
          <w:sz w:val="32"/>
          <w:szCs w:val="32"/>
          <w14:textFill>
            <w14:solidFill>
              <w14:schemeClr w14:val="tx1"/>
            </w14:solidFill>
          </w14:textFill>
        </w:rPr>
        <w:t xml:space="preserve">第十六条 </w:t>
      </w:r>
      <w:r>
        <w:rPr>
          <w:rFonts w:hint="eastAsia" w:ascii="仿宋" w:hAnsi="仿宋" w:eastAsia="仿宋"/>
          <w:kern w:val="0"/>
          <w:sz w:val="32"/>
          <w:szCs w:val="32"/>
        </w:rPr>
        <w:t>本办法</w:t>
      </w:r>
      <w:r>
        <w:rPr>
          <w:rFonts w:hint="eastAsia" w:ascii="仿宋_GB2312" w:hAnsi="宋体" w:eastAsia="仿宋_GB2312" w:cs="宋体"/>
          <w:color w:val="000000" w:themeColor="text1"/>
          <w:kern w:val="0"/>
          <w:sz w:val="32"/>
          <w:szCs w:val="32"/>
          <w14:textFill>
            <w14:solidFill>
              <w14:schemeClr w14:val="tx1"/>
            </w14:solidFill>
          </w14:textFill>
        </w:rPr>
        <w:t>自印发之日起施行，原</w:t>
      </w:r>
      <w:r>
        <w:rPr>
          <w:rFonts w:hint="eastAsia" w:ascii="仿宋_GB2312" w:hAnsi="仿宋" w:eastAsia="仿宋_GB2312"/>
          <w:sz w:val="32"/>
          <w:szCs w:val="32"/>
        </w:rPr>
        <w:t>《中国注册税务师协会会员入会登记管理办法》（中税协发[2005]030号）和《中国注册税务师协会个人会员会籍管理暂行办法》（中税协发[2016]032号）同时废止。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DF378C"/>
    <w:multiLevelType w:val="multilevel"/>
    <w:tmpl w:val="6ADF378C"/>
    <w:lvl w:ilvl="0" w:tentative="0">
      <w:start w:val="1"/>
      <w:numFmt w:val="japaneseCounting"/>
      <w:lvlText w:val="（%1）"/>
      <w:lvlJc w:val="left"/>
      <w:pPr>
        <w:ind w:left="1725" w:hanging="108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53D"/>
    <w:rsid w:val="000069C6"/>
    <w:rsid w:val="00020355"/>
    <w:rsid w:val="00023E45"/>
    <w:rsid w:val="00044683"/>
    <w:rsid w:val="00056CD0"/>
    <w:rsid w:val="00062AB2"/>
    <w:rsid w:val="000772E3"/>
    <w:rsid w:val="000B4DD4"/>
    <w:rsid w:val="000C6CB3"/>
    <w:rsid w:val="00112C86"/>
    <w:rsid w:val="00122109"/>
    <w:rsid w:val="00137168"/>
    <w:rsid w:val="00144C7A"/>
    <w:rsid w:val="00153267"/>
    <w:rsid w:val="00165BAB"/>
    <w:rsid w:val="001A4276"/>
    <w:rsid w:val="001B43F3"/>
    <w:rsid w:val="001E1AE1"/>
    <w:rsid w:val="001E33AB"/>
    <w:rsid w:val="0023440F"/>
    <w:rsid w:val="00236849"/>
    <w:rsid w:val="002468D5"/>
    <w:rsid w:val="0025422E"/>
    <w:rsid w:val="00270D89"/>
    <w:rsid w:val="002737F0"/>
    <w:rsid w:val="002850C3"/>
    <w:rsid w:val="00287932"/>
    <w:rsid w:val="0029015A"/>
    <w:rsid w:val="002A0C82"/>
    <w:rsid w:val="002A0EF1"/>
    <w:rsid w:val="002C0D3C"/>
    <w:rsid w:val="002E1691"/>
    <w:rsid w:val="003020BE"/>
    <w:rsid w:val="00312637"/>
    <w:rsid w:val="003216D2"/>
    <w:rsid w:val="00323DD2"/>
    <w:rsid w:val="00346F3A"/>
    <w:rsid w:val="003510B7"/>
    <w:rsid w:val="00360814"/>
    <w:rsid w:val="00394AD5"/>
    <w:rsid w:val="003B1BF9"/>
    <w:rsid w:val="003B5729"/>
    <w:rsid w:val="003B7F7A"/>
    <w:rsid w:val="003C4573"/>
    <w:rsid w:val="003E0615"/>
    <w:rsid w:val="003E578E"/>
    <w:rsid w:val="0042054E"/>
    <w:rsid w:val="00427190"/>
    <w:rsid w:val="00463AB3"/>
    <w:rsid w:val="004663F8"/>
    <w:rsid w:val="00487595"/>
    <w:rsid w:val="004A16D2"/>
    <w:rsid w:val="004C05F6"/>
    <w:rsid w:val="004D4470"/>
    <w:rsid w:val="004E172B"/>
    <w:rsid w:val="004E45CE"/>
    <w:rsid w:val="004F6BDF"/>
    <w:rsid w:val="00532046"/>
    <w:rsid w:val="00540048"/>
    <w:rsid w:val="00546B24"/>
    <w:rsid w:val="00570EDC"/>
    <w:rsid w:val="005A0E1B"/>
    <w:rsid w:val="005A75D9"/>
    <w:rsid w:val="005C2969"/>
    <w:rsid w:val="005F14E7"/>
    <w:rsid w:val="005F3DF9"/>
    <w:rsid w:val="005F5CE2"/>
    <w:rsid w:val="006011E6"/>
    <w:rsid w:val="006037B3"/>
    <w:rsid w:val="00612A0B"/>
    <w:rsid w:val="00643DE9"/>
    <w:rsid w:val="00675137"/>
    <w:rsid w:val="00682431"/>
    <w:rsid w:val="00684C3F"/>
    <w:rsid w:val="00690FBD"/>
    <w:rsid w:val="006A2E03"/>
    <w:rsid w:val="006A3A75"/>
    <w:rsid w:val="006A3F56"/>
    <w:rsid w:val="006B5600"/>
    <w:rsid w:val="006C3E2F"/>
    <w:rsid w:val="006D257F"/>
    <w:rsid w:val="006D3F23"/>
    <w:rsid w:val="006E42AB"/>
    <w:rsid w:val="006E4AEB"/>
    <w:rsid w:val="006F7760"/>
    <w:rsid w:val="00716717"/>
    <w:rsid w:val="0072082F"/>
    <w:rsid w:val="00725878"/>
    <w:rsid w:val="00731316"/>
    <w:rsid w:val="00737BBD"/>
    <w:rsid w:val="007813D9"/>
    <w:rsid w:val="007913F6"/>
    <w:rsid w:val="00794C68"/>
    <w:rsid w:val="007C0059"/>
    <w:rsid w:val="007C2290"/>
    <w:rsid w:val="007C23D0"/>
    <w:rsid w:val="007C58AE"/>
    <w:rsid w:val="007D04B8"/>
    <w:rsid w:val="007D114C"/>
    <w:rsid w:val="007E4EA0"/>
    <w:rsid w:val="007F49C5"/>
    <w:rsid w:val="0081489E"/>
    <w:rsid w:val="00826EC8"/>
    <w:rsid w:val="00833746"/>
    <w:rsid w:val="00841F47"/>
    <w:rsid w:val="0084683F"/>
    <w:rsid w:val="00871550"/>
    <w:rsid w:val="00881C54"/>
    <w:rsid w:val="00882F7C"/>
    <w:rsid w:val="00886CDE"/>
    <w:rsid w:val="00891DC5"/>
    <w:rsid w:val="00897AEB"/>
    <w:rsid w:val="008B4144"/>
    <w:rsid w:val="008C7DAF"/>
    <w:rsid w:val="008F163C"/>
    <w:rsid w:val="00906BC7"/>
    <w:rsid w:val="00912CC8"/>
    <w:rsid w:val="00931D9E"/>
    <w:rsid w:val="00944A48"/>
    <w:rsid w:val="00953329"/>
    <w:rsid w:val="0095509F"/>
    <w:rsid w:val="009807FB"/>
    <w:rsid w:val="00982154"/>
    <w:rsid w:val="00993F44"/>
    <w:rsid w:val="0099653D"/>
    <w:rsid w:val="009B1E85"/>
    <w:rsid w:val="009B495B"/>
    <w:rsid w:val="009D45AE"/>
    <w:rsid w:val="009D5EBF"/>
    <w:rsid w:val="009E1DAB"/>
    <w:rsid w:val="00A0206F"/>
    <w:rsid w:val="00A1518B"/>
    <w:rsid w:val="00A171CB"/>
    <w:rsid w:val="00A50FC0"/>
    <w:rsid w:val="00A60138"/>
    <w:rsid w:val="00A645C1"/>
    <w:rsid w:val="00A83E15"/>
    <w:rsid w:val="00A87B64"/>
    <w:rsid w:val="00A9107D"/>
    <w:rsid w:val="00AA4FC6"/>
    <w:rsid w:val="00AB5208"/>
    <w:rsid w:val="00AC79BD"/>
    <w:rsid w:val="00AE23E6"/>
    <w:rsid w:val="00AE614C"/>
    <w:rsid w:val="00AF6AD2"/>
    <w:rsid w:val="00B00EAE"/>
    <w:rsid w:val="00B27E45"/>
    <w:rsid w:val="00B36EC2"/>
    <w:rsid w:val="00B413B2"/>
    <w:rsid w:val="00B45558"/>
    <w:rsid w:val="00B45EDD"/>
    <w:rsid w:val="00B56A1B"/>
    <w:rsid w:val="00B73D1F"/>
    <w:rsid w:val="00B874A2"/>
    <w:rsid w:val="00B9040A"/>
    <w:rsid w:val="00B9584E"/>
    <w:rsid w:val="00BA6E0F"/>
    <w:rsid w:val="00BB7287"/>
    <w:rsid w:val="00BC2AA1"/>
    <w:rsid w:val="00BC419A"/>
    <w:rsid w:val="00BC4452"/>
    <w:rsid w:val="00BC67D4"/>
    <w:rsid w:val="00BD317A"/>
    <w:rsid w:val="00BE46DD"/>
    <w:rsid w:val="00C20E66"/>
    <w:rsid w:val="00C25CD4"/>
    <w:rsid w:val="00C367AB"/>
    <w:rsid w:val="00C45414"/>
    <w:rsid w:val="00C517F2"/>
    <w:rsid w:val="00C51EC8"/>
    <w:rsid w:val="00C54E43"/>
    <w:rsid w:val="00C5794F"/>
    <w:rsid w:val="00C64EF1"/>
    <w:rsid w:val="00C65DAB"/>
    <w:rsid w:val="00C76390"/>
    <w:rsid w:val="00C85D1F"/>
    <w:rsid w:val="00C879F2"/>
    <w:rsid w:val="00C935E7"/>
    <w:rsid w:val="00CC65DF"/>
    <w:rsid w:val="00CF6350"/>
    <w:rsid w:val="00D00CB0"/>
    <w:rsid w:val="00D03722"/>
    <w:rsid w:val="00D229B2"/>
    <w:rsid w:val="00D2500B"/>
    <w:rsid w:val="00D82C8A"/>
    <w:rsid w:val="00D90B4D"/>
    <w:rsid w:val="00DC625A"/>
    <w:rsid w:val="00DE15C0"/>
    <w:rsid w:val="00DE2BC6"/>
    <w:rsid w:val="00DF1253"/>
    <w:rsid w:val="00DF79DF"/>
    <w:rsid w:val="00E21073"/>
    <w:rsid w:val="00E3660D"/>
    <w:rsid w:val="00E55027"/>
    <w:rsid w:val="00E64706"/>
    <w:rsid w:val="00E902F9"/>
    <w:rsid w:val="00E95BBD"/>
    <w:rsid w:val="00EF5646"/>
    <w:rsid w:val="00F00BE9"/>
    <w:rsid w:val="00F115BA"/>
    <w:rsid w:val="00F1472F"/>
    <w:rsid w:val="00F543E5"/>
    <w:rsid w:val="00F5727E"/>
    <w:rsid w:val="00F6526C"/>
    <w:rsid w:val="00F85144"/>
    <w:rsid w:val="00F93FC0"/>
    <w:rsid w:val="00FB5B60"/>
    <w:rsid w:val="00FD62C6"/>
    <w:rsid w:val="00FF5E6A"/>
    <w:rsid w:val="00FF6CF2"/>
    <w:rsid w:val="72CD51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3"/>
    <w:semiHidden/>
    <w:unhideWhenUsed/>
    <w:uiPriority w:val="99"/>
    <w:pPr>
      <w:spacing w:line="240" w:lineRule="auto"/>
    </w:pPr>
    <w:rPr>
      <w:sz w:val="18"/>
      <w:szCs w:val="18"/>
    </w:rPr>
  </w:style>
  <w:style w:type="paragraph" w:styleId="4">
    <w:name w:val="footer"/>
    <w:basedOn w:val="1"/>
    <w:link w:val="12"/>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annotation subject"/>
    <w:basedOn w:val="2"/>
    <w:next w:val="2"/>
    <w:link w:val="15"/>
    <w:semiHidden/>
    <w:unhideWhenUsed/>
    <w:uiPriority w:val="99"/>
    <w:rPr>
      <w:b/>
      <w:bCs/>
    </w:rPr>
  </w:style>
  <w:style w:type="character" w:styleId="9">
    <w:name w:val="annotation reference"/>
    <w:basedOn w:val="8"/>
    <w:semiHidden/>
    <w:unhideWhenUsed/>
    <w:uiPriority w:val="99"/>
    <w:rPr>
      <w:sz w:val="21"/>
      <w:szCs w:val="21"/>
    </w:rPr>
  </w:style>
  <w:style w:type="paragraph" w:styleId="10">
    <w:name w:val="List Paragraph"/>
    <w:basedOn w:val="1"/>
    <w:qFormat/>
    <w:uiPriority w:val="34"/>
    <w:pPr>
      <w:ind w:firstLine="420" w:firstLineChars="200"/>
    </w:pPr>
  </w:style>
  <w:style w:type="character" w:customStyle="1" w:styleId="11">
    <w:name w:val="页眉 Char"/>
    <w:basedOn w:val="8"/>
    <w:link w:val="5"/>
    <w:qFormat/>
    <w:uiPriority w:val="99"/>
    <w:rPr>
      <w:sz w:val="18"/>
      <w:szCs w:val="18"/>
    </w:rPr>
  </w:style>
  <w:style w:type="character" w:customStyle="1" w:styleId="12">
    <w:name w:val="页脚 Char"/>
    <w:basedOn w:val="8"/>
    <w:link w:val="4"/>
    <w:uiPriority w:val="99"/>
    <w:rPr>
      <w:sz w:val="18"/>
      <w:szCs w:val="18"/>
    </w:rPr>
  </w:style>
  <w:style w:type="character" w:customStyle="1" w:styleId="13">
    <w:name w:val="批注框文本 Char"/>
    <w:basedOn w:val="8"/>
    <w:link w:val="3"/>
    <w:semiHidden/>
    <w:uiPriority w:val="99"/>
    <w:rPr>
      <w:sz w:val="18"/>
      <w:szCs w:val="18"/>
    </w:rPr>
  </w:style>
  <w:style w:type="character" w:customStyle="1" w:styleId="14">
    <w:name w:val="批注文字 Char"/>
    <w:basedOn w:val="8"/>
    <w:link w:val="2"/>
    <w:semiHidden/>
    <w:uiPriority w:val="99"/>
  </w:style>
  <w:style w:type="character" w:customStyle="1" w:styleId="15">
    <w:name w:val="批注主题 Char"/>
    <w:basedOn w:val="14"/>
    <w:link w:val="6"/>
    <w:semiHidden/>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中税协</Company>
  <Pages>4</Pages>
  <Words>1490</Words>
  <Characters>1514</Characters>
  <Lines>76</Lines>
  <Paragraphs>35</Paragraphs>
  <TotalTime>0</TotalTime>
  <ScaleCrop>false</ScaleCrop>
  <LinksUpToDate>false</LinksUpToDate>
  <CharactersWithSpaces>1533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2020-12-29T06:38:00Z</dcterms:created>
  <dc:creator>金宁</dc:creator>
  <cp:lastModifiedBy>Administrator</cp:lastModifiedBy>
  <cp:lastPrinted>2020-09-01T01:34:00Z</cp:lastPrinted>
  <dcterms:modified xsi:type="dcterms:W3CDTF">2021-01-08T07:13:51Z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