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rPr>
          <w:rFonts w:ascii="黑体" w:eastAsia="黑体" w:cs="Times New Roman"/>
          <w:b/>
          <w:bCs/>
          <w:color w:val="EE0000"/>
          <w:spacing w:val="26"/>
          <w:kern w:val="10"/>
          <w:sz w:val="72"/>
          <w:szCs w:val="72"/>
        </w:rPr>
      </w:pPr>
      <w:bookmarkStart w:id="2" w:name="_GoBack"/>
      <w:bookmarkEnd w:id="2"/>
      <w:r>
        <w:pict>
          <v:shape id="_x0000_s1041" o:spid="_x0000_s1041" o:spt="136" type="#_x0000_t136" style="position:absolute;left:0pt;margin-left:-20.25pt;margin-top:77.6pt;height:42.75pt;width:459.75pt;z-index:251663360;mso-width-relative:page;mso-height-relative:page;" fillcolor="#FF0000" filled="t" stroked="t" coordsize="21600,21600">
            <v:path/>
            <v:fill on="t" focussize="0,0"/>
            <v:stroke color="#FF0000"/>
            <v:imagedata o:title=""/>
            <o:lock v:ext="edit"/>
            <v:textpath on="t" fitshape="t" fitpath="t" trim="t" xscale="f" string="中国注册税务师协会文件" style="font-family:黑体;font-size:40pt;v-text-align:center;"/>
          </v:shape>
        </w:pict>
      </w:r>
    </w:p>
    <w:p>
      <w:pPr>
        <w:spacing w:line="360" w:lineRule="auto"/>
        <w:jc w:val="center"/>
        <w:rPr>
          <w:rFonts w:ascii="黑体" w:eastAsia="黑体" w:cs="Times New Roman"/>
          <w:b/>
          <w:bCs/>
          <w:color w:val="EE0000"/>
          <w:kern w:val="10"/>
          <w:sz w:val="84"/>
          <w:szCs w:val="84"/>
        </w:rPr>
      </w:pPr>
    </w:p>
    <w:p>
      <w:pPr>
        <w:jc w:val="center"/>
        <w:rPr>
          <w:rFonts w:ascii="黑体" w:eastAsia="黑体" w:cs="Times New Roman"/>
          <w:b/>
          <w:bCs/>
          <w:color w:val="EE0000"/>
          <w:kern w:val="10"/>
          <w:sz w:val="72"/>
          <w:szCs w:val="72"/>
        </w:rPr>
      </w:pPr>
    </w:p>
    <w:p>
      <w:pPr>
        <w:spacing w:line="360" w:lineRule="auto"/>
        <w:jc w:val="center"/>
        <w:rPr>
          <w:rFonts w:ascii="仿宋" w:hAnsi="仿宋" w:eastAsia="仿宋" w:cs="Times New Roman"/>
          <w:b/>
          <w:bCs/>
          <w:kern w:val="10"/>
          <w:sz w:val="32"/>
          <w:szCs w:val="32"/>
        </w:rPr>
      </w:pPr>
      <w:bookmarkStart w:id="0" w:name="文号"/>
      <w:r>
        <w:rPr>
          <w:rFonts w:hint="eastAsia" w:ascii="仿宋" w:hAnsi="仿宋" w:eastAsia="仿宋" w:cs="仿宋"/>
          <w:b/>
          <w:bCs/>
          <w:kern w:val="10"/>
          <w:sz w:val="32"/>
          <w:szCs w:val="32"/>
        </w:rPr>
        <w:t>中税协发〔</w:t>
      </w:r>
      <w:r>
        <w:rPr>
          <w:rFonts w:ascii="仿宋" w:hAnsi="仿宋" w:eastAsia="仿宋" w:cs="仿宋"/>
          <w:b/>
          <w:bCs/>
          <w:kern w:val="10"/>
          <w:sz w:val="32"/>
          <w:szCs w:val="32"/>
        </w:rPr>
        <w:t>2021</w:t>
      </w:r>
      <w:r>
        <w:rPr>
          <w:rFonts w:hint="eastAsia" w:ascii="仿宋" w:hAnsi="仿宋" w:eastAsia="仿宋" w:cs="仿宋"/>
          <w:b/>
          <w:bCs/>
          <w:kern w:val="10"/>
          <w:sz w:val="32"/>
          <w:szCs w:val="32"/>
        </w:rPr>
        <w:t>〕</w:t>
      </w:r>
      <w:r>
        <w:rPr>
          <w:rFonts w:ascii="仿宋" w:hAnsi="仿宋" w:eastAsia="仿宋" w:cs="仿宋"/>
          <w:b/>
          <w:bCs/>
          <w:kern w:val="10"/>
          <w:sz w:val="32"/>
          <w:szCs w:val="32"/>
        </w:rPr>
        <w:t>97</w:t>
      </w:r>
      <w:r>
        <w:rPr>
          <w:rFonts w:hint="eastAsia" w:ascii="仿宋" w:hAnsi="仿宋" w:eastAsia="仿宋" w:cs="仿宋"/>
          <w:b/>
          <w:bCs/>
          <w:kern w:val="10"/>
          <w:sz w:val="32"/>
          <w:szCs w:val="32"/>
        </w:rPr>
        <w:t>号</w:t>
      </w:r>
      <w:bookmarkEnd w:id="0"/>
    </w:p>
    <w:p>
      <w:pPr>
        <w:widowControl/>
        <w:spacing w:line="360" w:lineRule="auto"/>
        <w:jc w:val="center"/>
        <w:rPr>
          <w:rFonts w:ascii="黑体" w:hAnsi="黑体" w:eastAsia="黑体" w:cs="Times New Roman"/>
          <w:b/>
          <w:bCs/>
          <w:kern w:val="10"/>
          <w:sz w:val="32"/>
          <w:szCs w:val="32"/>
        </w:rPr>
      </w:pPr>
      <w: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57785</wp:posOffset>
                </wp:positionV>
                <wp:extent cx="5715000" cy="26035"/>
                <wp:effectExtent l="0" t="19050" r="0" b="31115"/>
                <wp:wrapNone/>
                <wp:docPr id="2" name="直线 16"/>
                <wp:cNvGraphicFramePr/>
                <a:graphic xmlns:a="http://schemas.openxmlformats.org/drawingml/2006/main">
                  <a:graphicData uri="http://schemas.microsoft.com/office/word/2010/wordprocessingShape">
                    <wps:wsp>
                      <wps:cNvSpPr/>
                      <wps:spPr>
                        <a:xfrm flipV="1">
                          <a:off x="0" y="0"/>
                          <a:ext cx="5715000" cy="26035"/>
                        </a:xfrm>
                        <a:prstGeom prst="line">
                          <a:avLst/>
                        </a:prstGeom>
                        <a:ln w="38100" cap="flat" cmpd="sng">
                          <a:solidFill>
                            <a:srgbClr val="D20000"/>
                          </a:solidFill>
                          <a:prstDash val="solid"/>
                          <a:headEnd type="none" w="med" len="med"/>
                          <a:tailEnd type="none" w="med" len="med"/>
                        </a:ln>
                      </wps:spPr>
                      <wps:bodyPr upright="1"/>
                    </wps:wsp>
                  </a:graphicData>
                </a:graphic>
              </wp:anchor>
            </w:drawing>
          </mc:Choice>
          <mc:Fallback>
            <w:pict>
              <v:line id="直线 16" o:spid="_x0000_s1026" o:spt="20" style="position:absolute;left:0pt;flip:y;margin-left:-4.6pt;margin-top:4.55pt;height:2.05pt;width:450pt;z-index:251662336;mso-width-relative:page;mso-height-relative:page;" filled="f" stroked="t" coordsize="21600,21600" o:gfxdata="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P/fNTUAAAABwEAAA8AAAAAAAAAAQAg&#10;AAAAIgAAAGRycy9kb3ducmV2LnhtbFBLAQIUABQAAAAIAIdO4kANUJW12QEAAJ0DAAAOAAAAAAAA&#10;AAEAIAAAACMBAABkcnMvZTJvRG9jLnhtbFBLBQYAAAAABgAGAFkBAABuBQAAAAA=&#10;">
                <v:fill on="f" focussize="0,0"/>
                <v:stroke weight="3pt" color="#D20000" joinstyle="round"/>
                <v:imagedata o:title=""/>
                <o:lock v:ext="edit" aspectratio="f"/>
              </v:line>
            </w:pict>
          </mc:Fallback>
        </mc:AlternateContent>
      </w:r>
      <w:r>
        <w:rPr>
          <w:rFonts w:ascii="黑体" w:hAnsi="黑体" w:eastAsia="黑体" w:cs="黑体"/>
          <w:b/>
          <w:bCs/>
          <w:kern w:val="10"/>
          <w:sz w:val="32"/>
          <w:szCs w:val="32"/>
        </w:rPr>
        <w:t xml:space="preserve">  </w:t>
      </w:r>
    </w:p>
    <w:p>
      <w:pPr>
        <w:tabs>
          <w:tab w:val="left" w:pos="420"/>
          <w:tab w:val="left" w:pos="9240"/>
        </w:tabs>
        <w:spacing w:line="360" w:lineRule="auto"/>
        <w:jc w:val="center"/>
        <w:rPr>
          <w:rFonts w:ascii="宋体" w:cs="Times New Roman"/>
          <w:b/>
          <w:bCs/>
          <w:kern w:val="10"/>
          <w:sz w:val="44"/>
          <w:szCs w:val="44"/>
        </w:rPr>
      </w:pPr>
      <w:r>
        <w:rPr>
          <w:rFonts w:hint="eastAsia" w:ascii="宋体" w:hAnsi="宋体" w:cs="宋体"/>
          <w:b/>
          <w:bCs/>
          <w:kern w:val="10"/>
          <w:sz w:val="44"/>
          <w:szCs w:val="44"/>
        </w:rPr>
        <w:t>中国注册税务师协会关于</w:t>
      </w:r>
    </w:p>
    <w:p>
      <w:pPr>
        <w:tabs>
          <w:tab w:val="left" w:pos="420"/>
          <w:tab w:val="left" w:pos="9240"/>
        </w:tabs>
        <w:spacing w:line="360" w:lineRule="auto"/>
        <w:jc w:val="center"/>
        <w:rPr>
          <w:rFonts w:ascii="宋体" w:cs="Times New Roman"/>
          <w:b/>
          <w:bCs/>
          <w:kern w:val="10"/>
          <w:sz w:val="44"/>
          <w:szCs w:val="44"/>
        </w:rPr>
      </w:pPr>
      <w:r>
        <w:rPr>
          <w:rFonts w:hint="eastAsia" w:ascii="宋体" w:hAnsi="宋体" w:cs="宋体"/>
          <w:b/>
          <w:bCs/>
          <w:kern w:val="10"/>
          <w:sz w:val="44"/>
          <w:szCs w:val="44"/>
        </w:rPr>
        <w:t>征求《注册税务师行业“十四五”时期</w:t>
      </w:r>
    </w:p>
    <w:p>
      <w:pPr>
        <w:tabs>
          <w:tab w:val="left" w:pos="420"/>
          <w:tab w:val="left" w:pos="9240"/>
        </w:tabs>
        <w:spacing w:line="360" w:lineRule="auto"/>
        <w:jc w:val="center"/>
        <w:rPr>
          <w:rFonts w:ascii="宋体" w:cs="Times New Roman"/>
          <w:b/>
          <w:bCs/>
          <w:kern w:val="10"/>
          <w:sz w:val="44"/>
          <w:szCs w:val="44"/>
        </w:rPr>
      </w:pPr>
      <w:r>
        <w:rPr>
          <w:rFonts w:hint="eastAsia" w:ascii="宋体" w:hAnsi="宋体" w:cs="宋体"/>
          <w:b/>
          <w:bCs/>
          <w:kern w:val="10"/>
          <w:sz w:val="44"/>
          <w:szCs w:val="44"/>
        </w:rPr>
        <w:t>发展规划（征求意见稿）》意见的通知</w:t>
      </w:r>
    </w:p>
    <w:p>
      <w:pPr>
        <w:spacing w:line="360" w:lineRule="auto"/>
        <w:rPr>
          <w:rFonts w:ascii="仿宋" w:hAnsi="仿宋" w:eastAsia="仿宋" w:cs="Times New Roman"/>
          <w:sz w:val="32"/>
          <w:szCs w:val="32"/>
        </w:rPr>
      </w:pPr>
    </w:p>
    <w:p>
      <w:pPr>
        <w:rPr>
          <w:rFonts w:ascii="仿宋" w:hAnsi="仿宋" w:eastAsia="仿宋" w:cs="Times New Roman"/>
          <w:sz w:val="32"/>
          <w:szCs w:val="32"/>
        </w:rPr>
      </w:pPr>
      <w:r>
        <w:rPr>
          <w:rFonts w:hint="eastAsia" w:ascii="仿宋" w:hAnsi="仿宋" w:eastAsia="仿宋" w:cs="仿宋"/>
          <w:sz w:val="32"/>
          <w:szCs w:val="32"/>
        </w:rPr>
        <w:t>各省、自治区、直辖市和计划单列市注册税务师协会：</w:t>
      </w:r>
    </w:p>
    <w:p>
      <w:pPr>
        <w:ind w:firstLine="640" w:firstLineChars="200"/>
        <w:rPr>
          <w:rFonts w:ascii="仿宋" w:hAnsi="仿宋" w:eastAsia="仿宋" w:cs="Times New Roman"/>
          <w:sz w:val="32"/>
          <w:szCs w:val="32"/>
        </w:rPr>
      </w:pPr>
      <w:r>
        <w:rPr>
          <w:rFonts w:hint="eastAsia" w:ascii="仿宋" w:hAnsi="仿宋" w:eastAsia="仿宋" w:cs="仿宋"/>
          <w:sz w:val="32"/>
          <w:szCs w:val="32"/>
        </w:rPr>
        <w:t>为深入贯彻习近平新时代中国特色社会主义思想，推进税务师行业高质量发展，我会起草了《注册税务师行业“十四五”时期发展规划（征求意见稿）》，现印发你们。请抓紧组织征求本地区会员意见，并于</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日前将书面意见反馈我会。</w:t>
      </w:r>
    </w:p>
    <w:p>
      <w:pPr>
        <w:rPr>
          <w:rFonts w:ascii="仿宋" w:hAnsi="仿宋" w:eastAsia="仿宋" w:cs="Times New Roman"/>
          <w:sz w:val="32"/>
          <w:szCs w:val="32"/>
        </w:rPr>
      </w:pPr>
    </w:p>
    <w:p>
      <w:pPr>
        <w:rPr>
          <w:rFonts w:ascii="仿宋" w:hAnsi="仿宋" w:eastAsia="仿宋" w:cs="Times New Roman"/>
          <w:sz w:val="32"/>
          <w:szCs w:val="32"/>
        </w:rPr>
      </w:pPr>
      <w:r>
        <w:rPr>
          <w:rFonts w:hint="eastAsia" w:ascii="仿宋" w:hAnsi="仿宋" w:eastAsia="仿宋" w:cs="仿宋"/>
          <w:sz w:val="32"/>
          <w:szCs w:val="32"/>
        </w:rPr>
        <w:t>联系人：中税协办公室</w:t>
      </w:r>
      <w:r>
        <w:rPr>
          <w:rFonts w:ascii="仿宋" w:hAnsi="仿宋" w:eastAsia="仿宋" w:cs="仿宋"/>
          <w:sz w:val="32"/>
          <w:szCs w:val="32"/>
        </w:rPr>
        <w:t xml:space="preserve"> </w:t>
      </w:r>
      <w:r>
        <w:rPr>
          <w:rFonts w:hint="eastAsia" w:ascii="仿宋" w:hAnsi="仿宋" w:eastAsia="仿宋" w:cs="仿宋"/>
          <w:sz w:val="32"/>
          <w:szCs w:val="32"/>
        </w:rPr>
        <w:t>李楠；</w:t>
      </w:r>
    </w:p>
    <w:p>
      <w:pPr>
        <w:rPr>
          <w:rFonts w:ascii="仿宋" w:hAnsi="仿宋" w:eastAsia="仿宋" w:cs="Times New Roman"/>
          <w:sz w:val="32"/>
          <w:szCs w:val="32"/>
        </w:rPr>
      </w:pPr>
      <w:r>
        <w:rPr>
          <w:rFonts w:hint="eastAsia" w:ascii="仿宋" w:hAnsi="仿宋" w:eastAsia="仿宋" w:cs="仿宋"/>
          <w:sz w:val="32"/>
          <w:szCs w:val="32"/>
        </w:rPr>
        <w:t>电</w:t>
      </w:r>
      <w:r>
        <w:rPr>
          <w:rFonts w:ascii="仿宋" w:hAnsi="仿宋" w:eastAsia="仿宋" w:cs="仿宋"/>
          <w:sz w:val="32"/>
          <w:szCs w:val="32"/>
        </w:rPr>
        <w:t xml:space="preserve"> </w:t>
      </w:r>
      <w:r>
        <w:rPr>
          <w:rFonts w:hint="eastAsia" w:ascii="仿宋" w:hAnsi="仿宋" w:eastAsia="仿宋" w:cs="仿宋"/>
          <w:sz w:val="32"/>
          <w:szCs w:val="32"/>
        </w:rPr>
        <w:t>话：</w:t>
      </w:r>
      <w:r>
        <w:rPr>
          <w:rFonts w:ascii="仿宋" w:hAnsi="仿宋" w:eastAsia="仿宋" w:cs="仿宋"/>
          <w:sz w:val="32"/>
          <w:szCs w:val="32"/>
        </w:rPr>
        <w:t>010-83755813</w:t>
      </w:r>
      <w:r>
        <w:rPr>
          <w:rFonts w:hint="eastAsia" w:ascii="仿宋" w:hAnsi="仿宋" w:eastAsia="仿宋" w:cs="仿宋"/>
          <w:sz w:val="32"/>
          <w:szCs w:val="32"/>
        </w:rPr>
        <w:t>、</w:t>
      </w:r>
      <w:r>
        <w:rPr>
          <w:rFonts w:ascii="仿宋" w:hAnsi="仿宋" w:eastAsia="仿宋" w:cs="仿宋"/>
          <w:sz w:val="32"/>
          <w:szCs w:val="32"/>
        </w:rPr>
        <w:t>13810817698</w:t>
      </w:r>
      <w:r>
        <w:rPr>
          <w:rFonts w:hint="eastAsia" w:ascii="仿宋" w:hAnsi="仿宋" w:eastAsia="仿宋" w:cs="仿宋"/>
          <w:sz w:val="32"/>
          <w:szCs w:val="32"/>
        </w:rPr>
        <w:t>；</w:t>
      </w:r>
    </w:p>
    <w:p>
      <w:pPr>
        <w:rPr>
          <w:rFonts w:ascii="仿宋" w:hAnsi="仿宋" w:eastAsia="仿宋" w:cs="Times New Roman"/>
          <w:sz w:val="32"/>
          <w:szCs w:val="32"/>
        </w:rPr>
      </w:pPr>
      <w:r>
        <w:rPr>
          <w:rFonts w:hint="eastAsia" w:ascii="仿宋" w:hAnsi="仿宋" w:eastAsia="仿宋" w:cs="仿宋"/>
          <w:sz w:val="32"/>
          <w:szCs w:val="32"/>
        </w:rPr>
        <w:t>电子邮箱：</w:t>
      </w:r>
      <w:r>
        <w:fldChar w:fldCharType="begin"/>
      </w:r>
      <w:r>
        <w:instrText xml:space="preserve"> HYPERLINK "mailto:bgs@cctaa.cn。" </w:instrText>
      </w:r>
      <w:r>
        <w:fldChar w:fldCharType="separate"/>
      </w:r>
      <w:r>
        <w:rPr>
          <w:rStyle w:val="11"/>
          <w:rFonts w:ascii="仿宋" w:hAnsi="仿宋" w:eastAsia="仿宋" w:cs="仿宋"/>
          <w:sz w:val="32"/>
          <w:szCs w:val="32"/>
        </w:rPr>
        <w:t>bgs@cctaa.cn</w:t>
      </w:r>
      <w:r>
        <w:rPr>
          <w:rStyle w:val="11"/>
          <w:rFonts w:hint="eastAsia" w:ascii="仿宋" w:hAnsi="仿宋" w:eastAsia="仿宋" w:cs="仿宋"/>
          <w:sz w:val="32"/>
          <w:szCs w:val="32"/>
        </w:rPr>
        <w:t>。</w:t>
      </w:r>
      <w:r>
        <w:rPr>
          <w:rStyle w:val="11"/>
          <w:rFonts w:hint="eastAsia" w:ascii="仿宋" w:hAnsi="仿宋" w:eastAsia="仿宋" w:cs="仿宋"/>
          <w:sz w:val="32"/>
          <w:szCs w:val="32"/>
        </w:rPr>
        <w:fldChar w:fldCharType="end"/>
      </w:r>
    </w:p>
    <w:p>
      <w:pPr>
        <w:rPr>
          <w:rFonts w:ascii="仿宋" w:hAnsi="仿宋" w:eastAsia="仿宋" w:cs="Times New Roman"/>
          <w:sz w:val="32"/>
          <w:szCs w:val="32"/>
        </w:rPr>
      </w:pPr>
      <w:r>
        <w:rPr>
          <w:rFonts w:hint="eastAsia" w:ascii="仿宋" w:hAnsi="仿宋" w:eastAsia="仿宋" w:cs="仿宋"/>
          <w:sz w:val="32"/>
          <w:szCs w:val="32"/>
        </w:rPr>
        <w:t>附件：《注册税务师行业“十四五”时期发展规划（征求意见稿）》</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line="360" w:lineRule="auto"/>
        <w:ind w:firstLine="640" w:firstLineChars="200"/>
        <w:rPr>
          <w:rFonts w:ascii="仿宋" w:hAnsi="仿宋" w:eastAsia="仿宋" w:cs="Times New Roman"/>
          <w:sz w:val="32"/>
          <w:szCs w:val="32"/>
        </w:rPr>
      </w:pPr>
    </w:p>
    <w:p>
      <w:pPr>
        <w:ind w:firstLine="504" w:firstLineChars="196"/>
        <w:rPr>
          <w:rFonts w:ascii="黑体" w:hAnsi="Times New Roman" w:eastAsia="黑体" w:cs="Times New Roman"/>
          <w:b/>
          <w:bCs/>
          <w:w w:val="80"/>
          <w:sz w:val="32"/>
          <w:szCs w:val="32"/>
        </w:rPr>
      </w:pPr>
    </w:p>
    <w:p>
      <w:pPr>
        <w:ind w:firstLine="411" w:firstLineChars="196"/>
        <w:rPr>
          <w:rFonts w:ascii="仿宋" w:hAnsi="仿宋" w:eastAsia="仿宋" w:cs="Times New Roman"/>
          <w:sz w:val="32"/>
          <w:szCs w:val="32"/>
        </w:rPr>
      </w:pPr>
      <w:r>
        <w:pict>
          <v:shape id="_x0000_s1044" o:spid="_x0000_s1044" o:spt="75" type="#_x0000_t75" style="position:absolute;left:0pt;margin-left:346.5pt;margin-top:317.55pt;height:126.75pt;width:127.5pt;mso-position-horizontal-relative:page;mso-position-vertical-relative:page;z-index:-251650048;mso-width-relative:page;mso-height-relative:page;" filled="f" stroked="f" coordsize="21600,21600">
            <v:path/>
            <v:fill on="f" focussize="0,0"/>
            <v:stroke on="f" joinstyle="miter"/>
            <v:imagedata r:id="rId5" o:title=""/>
            <o:lock v:ext="edit"/>
          </v:shape>
        </w:pict>
      </w:r>
      <w:r>
        <w:rPr>
          <w:rFonts w:ascii="仿宋" w:hAnsi="仿宋" w:eastAsia="仿宋" w:cs="仿宋"/>
          <w:sz w:val="32"/>
          <w:szCs w:val="32"/>
        </w:rPr>
        <w:t xml:space="preserve">                         </w:t>
      </w:r>
    </w:p>
    <w:p>
      <w:pPr>
        <w:ind w:firstLine="5104" w:firstLineChars="1595"/>
        <w:rPr>
          <w:rFonts w:ascii="仿宋" w:hAnsi="仿宋" w:eastAsia="仿宋" w:cs="Times New Roman"/>
          <w:sz w:val="32"/>
          <w:szCs w:val="32"/>
        </w:rPr>
      </w:pP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 xml:space="preserve">23 </w:t>
      </w:r>
      <w:r>
        <w:rPr>
          <w:rFonts w:hint="eastAsia" w:ascii="仿宋" w:hAnsi="仿宋" w:eastAsia="仿宋" w:cs="仿宋"/>
          <w:sz w:val="32"/>
          <w:szCs w:val="32"/>
        </w:rPr>
        <w:t>日</w:t>
      </w:r>
    </w:p>
    <w:p>
      <w:pPr>
        <w:ind w:firstLine="5104" w:firstLineChars="1595"/>
        <w:rPr>
          <w:rFonts w:ascii="仿宋" w:hAnsi="仿宋" w:eastAsia="仿宋" w:cs="Times New Roman"/>
          <w:sz w:val="32"/>
          <w:szCs w:val="32"/>
        </w:rPr>
      </w:pPr>
    </w:p>
    <w:p>
      <w:pPr>
        <w:ind w:firstLine="5104" w:firstLineChars="1595"/>
        <w:rPr>
          <w:rFonts w:ascii="仿宋" w:hAnsi="仿宋" w:eastAsia="仿宋" w:cs="Times New Roman"/>
          <w:sz w:val="32"/>
          <w:szCs w:val="32"/>
        </w:rPr>
      </w:pPr>
    </w:p>
    <w:p>
      <w:pPr>
        <w:ind w:firstLine="5104" w:firstLineChars="1595"/>
        <w:rPr>
          <w:rFonts w:ascii="仿宋" w:hAnsi="仿宋" w:eastAsia="仿宋" w:cs="Times New Roman"/>
          <w:sz w:val="32"/>
          <w:szCs w:val="32"/>
        </w:rPr>
      </w:pPr>
    </w:p>
    <w:p>
      <w:pPr>
        <w:ind w:firstLine="5104" w:firstLineChars="1595"/>
        <w:rPr>
          <w:rFonts w:ascii="仿宋" w:hAnsi="仿宋" w:eastAsia="仿宋" w:cs="Times New Roman"/>
          <w:sz w:val="32"/>
          <w:szCs w:val="32"/>
        </w:rPr>
      </w:pPr>
    </w:p>
    <w:p>
      <w:pPr>
        <w:ind w:firstLine="5104" w:firstLineChars="1595"/>
        <w:rPr>
          <w:rFonts w:ascii="仿宋" w:hAnsi="仿宋" w:eastAsia="仿宋" w:cs="Times New Roman"/>
          <w:sz w:val="32"/>
          <w:szCs w:val="32"/>
        </w:rPr>
      </w:pPr>
    </w:p>
    <w:p>
      <w:pPr>
        <w:ind w:firstLine="5104" w:firstLineChars="1595"/>
        <w:rPr>
          <w:rFonts w:ascii="仿宋" w:hAnsi="仿宋" w:eastAsia="仿宋" w:cs="Times New Roman"/>
          <w:sz w:val="32"/>
          <w:szCs w:val="32"/>
        </w:rPr>
      </w:pPr>
    </w:p>
    <w:p>
      <w:pPr>
        <w:ind w:firstLine="5104" w:firstLineChars="1595"/>
        <w:rPr>
          <w:rFonts w:ascii="仿宋" w:hAnsi="仿宋" w:eastAsia="仿宋" w:cs="Times New Roman"/>
          <w:sz w:val="32"/>
          <w:szCs w:val="32"/>
        </w:rPr>
      </w:pPr>
    </w:p>
    <w:p>
      <w:pPr>
        <w:rPr>
          <w:rFonts w:ascii="仿宋" w:hAnsi="仿宋" w:eastAsia="仿宋" w:cs="Times New Roman"/>
          <w:sz w:val="28"/>
          <w:szCs w:val="28"/>
        </w:rPr>
      </w:pPr>
      <w:r>
        <w:rPr>
          <w:rFonts w:hint="eastAsia" w:ascii="仿宋" w:hAnsi="仿宋" w:eastAsia="仿宋" w:cs="仿宋"/>
          <w:sz w:val="28"/>
          <w:szCs w:val="28"/>
        </w:rPr>
        <w:t>（只发电子件）</w:t>
      </w:r>
    </w:p>
    <w:p>
      <w:pPr>
        <w:ind w:right="-321"/>
        <w:rPr>
          <w:rFonts w:ascii="仿宋" w:hAnsi="仿宋" w:eastAsia="仿宋" w:cs="Times New Roman"/>
          <w:sz w:val="28"/>
          <w:szCs w:val="28"/>
        </w:rPr>
      </w:pPr>
      <w:r>
        <mc:AlternateContent>
          <mc:Choice Requires="wps">
            <w:drawing>
              <wp:anchor distT="0" distB="0" distL="114300" distR="114300" simplePos="0" relativeHeight="251664384" behindDoc="0" locked="0" layoutInCell="0" allowOverlap="1">
                <wp:simplePos x="0" y="0"/>
                <wp:positionH relativeFrom="column">
                  <wp:posOffset>-48260</wp:posOffset>
                </wp:positionH>
                <wp:positionV relativeFrom="paragraph">
                  <wp:posOffset>3810</wp:posOffset>
                </wp:positionV>
                <wp:extent cx="5382260" cy="0"/>
                <wp:effectExtent l="0" t="0" r="0" b="0"/>
                <wp:wrapNone/>
                <wp:docPr id="3" name="直线 18"/>
                <wp:cNvGraphicFramePr/>
                <a:graphic xmlns:a="http://schemas.openxmlformats.org/drawingml/2006/main">
                  <a:graphicData uri="http://schemas.microsoft.com/office/word/2010/wordprocessingShape">
                    <wps:wsp>
                      <wps:cNvSp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3.8pt;margin-top:0.3pt;height:0pt;width:423.8pt;z-index:251664384;mso-width-relative:page;mso-height-relative:page;" filled="f" stroked="t" coordsize="21600,21600" o:allowincell="f" o:gfxdata="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lNvYtUAAAAEAQAADwAAAAAAAAABACAAAAAiAAAAZHJz&#10;L2Rvd25yZXYueG1sUEsBAhQAFAAAAAgAh07iQPUiMfPOAQAAjwMAAA4AAAAAAAAAAQAgAAAAJAEA&#10;AGRycy9lMm9Eb2MueG1sUEsFBgAAAAAGAAYAWQEAAGQFAAAAAA==&#10;">
                <v:fill on="f" focussize="0,0"/>
                <v:stroke weight="1pt" color="#000000" joinstyle="round"/>
                <v:imagedata o:title=""/>
                <o:lock v:ext="edit" aspectratio="f"/>
              </v:line>
            </w:pict>
          </mc:Fallback>
        </mc:AlternateContent>
      </w:r>
      <w:r>
        <w:rPr>
          <w:rFonts w:hint="eastAsia" w:ascii="仿宋" w:hAnsi="仿宋" w:eastAsia="仿宋" w:cs="仿宋"/>
          <w:sz w:val="28"/>
          <w:szCs w:val="28"/>
        </w:rPr>
        <w:t>中国注册税务师协会</w:t>
      </w:r>
      <w:r>
        <w:rPr>
          <w:rFonts w:ascii="仿宋" w:hAnsi="仿宋" w:eastAsia="仿宋" w:cs="仿宋"/>
          <w:sz w:val="28"/>
          <w:szCs w:val="28"/>
        </w:rPr>
        <w:t xml:space="preserve">                     2021</w:t>
      </w:r>
      <w:r>
        <w:rPr>
          <w:rFonts w:hint="eastAsia" w:ascii="仿宋" w:hAnsi="仿宋" w:eastAsia="仿宋" w:cs="仿宋"/>
          <w:sz w:val="28"/>
          <w:szCs w:val="28"/>
        </w:rPr>
        <w:t>年</w:t>
      </w:r>
      <w:r>
        <w:rPr>
          <w:rFonts w:ascii="仿宋" w:hAnsi="仿宋" w:eastAsia="仿宋" w:cs="仿宋"/>
          <w:sz w:val="28"/>
          <w:szCs w:val="28"/>
        </w:rPr>
        <w:t xml:space="preserve">11 </w:t>
      </w:r>
      <w:r>
        <w:rPr>
          <w:rFonts w:hint="eastAsia" w:ascii="仿宋" w:hAnsi="仿宋" w:eastAsia="仿宋" w:cs="仿宋"/>
          <w:sz w:val="28"/>
          <w:szCs w:val="28"/>
        </w:rPr>
        <w:t>月</w:t>
      </w:r>
      <w:r>
        <w:rPr>
          <w:rFonts w:ascii="仿宋" w:hAnsi="仿宋" w:eastAsia="仿宋" w:cs="仿宋"/>
          <w:sz w:val="28"/>
          <w:szCs w:val="28"/>
        </w:rPr>
        <w:t>23</w:t>
      </w:r>
      <w:r>
        <w:rPr>
          <w:rFonts w:hint="eastAsia" w:ascii="仿宋" w:hAnsi="仿宋" w:eastAsia="仿宋" w:cs="仿宋"/>
          <w:sz w:val="28"/>
          <w:szCs w:val="28"/>
        </w:rPr>
        <w:t>日印发</w:t>
      </w:r>
    </w:p>
    <w:p>
      <w:pPr>
        <w:ind w:right="-321" w:firstLine="235" w:firstLineChars="112"/>
        <w:rPr>
          <w:rFonts w:ascii="仿宋" w:hAnsi="仿宋" w:eastAsia="仿宋" w:cs="Times New Roman"/>
          <w:sz w:val="28"/>
          <w:szCs w:val="28"/>
        </w:rPr>
      </w:pPr>
      <w:r>
        <mc:AlternateContent>
          <mc:Choice Requires="wps">
            <w:drawing>
              <wp:anchor distT="0" distB="0" distL="114300" distR="114300" simplePos="0" relativeHeight="251665408" behindDoc="0" locked="0" layoutInCell="0" allowOverlap="1">
                <wp:simplePos x="0" y="0"/>
                <wp:positionH relativeFrom="column">
                  <wp:posOffset>-48260</wp:posOffset>
                </wp:positionH>
                <wp:positionV relativeFrom="paragraph">
                  <wp:posOffset>-1905</wp:posOffset>
                </wp:positionV>
                <wp:extent cx="5382260" cy="0"/>
                <wp:effectExtent l="0" t="0" r="0" b="0"/>
                <wp:wrapNone/>
                <wp:docPr id="4" name="直线 19"/>
                <wp:cNvGraphicFramePr/>
                <a:graphic xmlns:a="http://schemas.openxmlformats.org/drawingml/2006/main">
                  <a:graphicData uri="http://schemas.microsoft.com/office/word/2010/wordprocessingShape">
                    <wps:wsp>
                      <wps:cNvSpPr/>
                      <wps:spPr>
                        <a:xfrm>
                          <a:off x="0" y="0"/>
                          <a:ext cx="53822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3.8pt;margin-top:-0.15pt;height:0pt;width:423.8pt;z-index:251665408;mso-width-relative:page;mso-height-relative:page;" filled="f" stroked="t" coordsize="21600,21600" o:allowincell="f" o:gfxdata="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SO+9P1QAAAAYBAAAPAAAAAAAAAAEAIAAAACIAAABkcnMv&#10;ZG93bnJldi54bWxQSwECFAAUAAAACACHTuJANeEmK80BAACPAwAADgAAAAAAAAABACAAAAAkAQAA&#10;ZHJzL2Uyb0RvYy54bWxQSwUGAAAAAAYABgBZAQAAYwUAAAAA&#10;">
                <v:fill on="f" focussize="0,0"/>
                <v:stroke weight="1pt" color="#000000" joinstyle="round"/>
                <v:imagedata o:title=""/>
                <o:lock v:ext="edit" aspectratio="f"/>
              </v:line>
            </w:pict>
          </mc:Fallback>
        </mc:AlternateContent>
      </w:r>
      <w:r>
        <w:rPr>
          <w:rFonts w:ascii="仿宋" w:hAnsi="仿宋" w:eastAsia="仿宋" w:cs="仿宋"/>
          <w:sz w:val="28"/>
          <w:szCs w:val="28"/>
        </w:rPr>
        <w:t xml:space="preserve">                                      </w:t>
      </w:r>
      <w:r>
        <w:rPr>
          <w:rFonts w:hint="eastAsia" w:ascii="仿宋" w:hAnsi="仿宋" w:eastAsia="仿宋" w:cs="仿宋"/>
          <w:sz w:val="28"/>
          <w:szCs w:val="28"/>
        </w:rPr>
        <w:t>校对：</w:t>
      </w:r>
      <w:bookmarkStart w:id="1" w:name="校对"/>
      <w:bookmarkEnd w:id="1"/>
      <w:r>
        <w:rPr>
          <w:rFonts w:hint="eastAsia" w:ascii="仿宋" w:hAnsi="仿宋" w:eastAsia="仿宋" w:cs="仿宋"/>
          <w:sz w:val="28"/>
          <w:szCs w:val="28"/>
        </w:rPr>
        <w:t>办公室</w:t>
      </w:r>
      <w:r>
        <w:rPr>
          <w:rFonts w:ascii="仿宋" w:hAnsi="仿宋" w:eastAsia="仿宋" w:cs="仿宋"/>
          <w:sz w:val="28"/>
          <w:szCs w:val="28"/>
        </w:rPr>
        <w:t xml:space="preserve">   </w:t>
      </w:r>
      <w:r>
        <w:rPr>
          <w:rFonts w:hint="eastAsia" w:ascii="仿宋" w:hAnsi="仿宋" w:eastAsia="仿宋" w:cs="仿宋"/>
          <w:sz w:val="28"/>
          <w:szCs w:val="28"/>
        </w:rPr>
        <w:t>李楠</w:t>
      </w:r>
    </w:p>
    <w:p>
      <w:pPr>
        <w:spacing w:line="620" w:lineRule="exact"/>
        <w:jc w:val="center"/>
        <w:rPr>
          <w:rFonts w:ascii="华文中宋" w:hAnsi="华文中宋" w:eastAsia="华文中宋" w:cs="Times New Roman"/>
          <w:sz w:val="44"/>
          <w:szCs w:val="44"/>
        </w:rPr>
      </w:pPr>
    </w:p>
    <w:p>
      <w:pPr>
        <w:spacing w:line="620" w:lineRule="exact"/>
        <w:jc w:val="center"/>
        <w:rPr>
          <w:rFonts w:ascii="华文中宋" w:hAnsi="华文中宋" w:eastAsia="华文中宋" w:cs="Times New Roman"/>
          <w:sz w:val="44"/>
          <w:szCs w:val="44"/>
        </w:rPr>
      </w:pPr>
      <w:r>
        <w:rPr>
          <w:rFonts w:hint="eastAsia" w:ascii="华文中宋" w:hAnsi="华文中宋" w:eastAsia="华文中宋" w:cs="华文中宋"/>
          <w:sz w:val="44"/>
          <w:szCs w:val="44"/>
        </w:rPr>
        <w:t>注册税务师行业</w:t>
      </w:r>
    </w:p>
    <w:p>
      <w:pPr>
        <w:spacing w:line="620" w:lineRule="exact"/>
        <w:jc w:val="center"/>
        <w:rPr>
          <w:rFonts w:ascii="华文中宋" w:hAnsi="华文中宋" w:eastAsia="华文中宋" w:cs="Times New Roman"/>
          <w:sz w:val="44"/>
          <w:szCs w:val="44"/>
        </w:rPr>
      </w:pPr>
      <w:r>
        <w:rPr>
          <w:rFonts w:hint="eastAsia" w:ascii="华文中宋" w:hAnsi="华文中宋" w:eastAsia="华文中宋" w:cs="华文中宋"/>
          <w:sz w:val="44"/>
          <w:szCs w:val="44"/>
        </w:rPr>
        <w:t>“十四五”时期发展规划</w:t>
      </w:r>
    </w:p>
    <w:p>
      <w:pPr>
        <w:spacing w:line="620" w:lineRule="exact"/>
        <w:jc w:val="center"/>
        <w:rPr>
          <w:rFonts w:ascii="华文楷体" w:hAnsi="华文楷体" w:eastAsia="华文楷体" w:cs="Times New Roman"/>
          <w:b/>
          <w:bCs/>
          <w:sz w:val="32"/>
          <w:szCs w:val="32"/>
        </w:rPr>
      </w:pPr>
      <w:r>
        <w:rPr>
          <w:rFonts w:hint="eastAsia" w:ascii="华文楷体" w:hAnsi="华文楷体" w:eastAsia="华文楷体" w:cs="华文楷体"/>
          <w:b/>
          <w:bCs/>
          <w:sz w:val="32"/>
          <w:szCs w:val="32"/>
        </w:rPr>
        <w:t>（征求意见稿）</w:t>
      </w:r>
    </w:p>
    <w:p>
      <w:pPr>
        <w:spacing w:line="620" w:lineRule="exact"/>
        <w:jc w:val="center"/>
        <w:rPr>
          <w:rFonts w:ascii="华文楷体" w:hAnsi="华文楷体" w:eastAsia="华文楷体" w:cs="Times New Roman"/>
          <w:b/>
          <w:bCs/>
          <w:sz w:val="32"/>
          <w:szCs w:val="32"/>
        </w:rPr>
      </w:pPr>
    </w:p>
    <w:p>
      <w:pPr>
        <w:spacing w:line="620" w:lineRule="exact"/>
        <w:ind w:firstLine="640" w:firstLineChars="200"/>
        <w:rPr>
          <w:rFonts w:cs="Times New Roman"/>
          <w:sz w:val="32"/>
          <w:szCs w:val="32"/>
        </w:rPr>
      </w:pPr>
      <w:r>
        <w:rPr>
          <w:rFonts w:hint="eastAsia" w:cs="宋体"/>
          <w:sz w:val="32"/>
          <w:szCs w:val="32"/>
        </w:rPr>
        <w:t>为深入贯彻习近平新时代中国特色社会主义思想，全面贯彻党的十九大和十九届二中、三中、四中、五中、六中全会精神，大力推进税务师行业高质量发展，根据《中华人民共和国国民经济和社会发展第十四个五年规划和</w:t>
      </w:r>
      <w:r>
        <w:rPr>
          <w:sz w:val="32"/>
          <w:szCs w:val="32"/>
        </w:rPr>
        <w:t>2035</w:t>
      </w:r>
      <w:r>
        <w:rPr>
          <w:rFonts w:hint="eastAsia" w:cs="宋体"/>
          <w:sz w:val="32"/>
          <w:szCs w:val="32"/>
        </w:rPr>
        <w:t>年远景目标纲要》《中共中央办公厅</w:t>
      </w:r>
      <w:r>
        <w:rPr>
          <w:sz w:val="32"/>
          <w:szCs w:val="32"/>
        </w:rPr>
        <w:t xml:space="preserve"> </w:t>
      </w:r>
      <w:r>
        <w:rPr>
          <w:rFonts w:hint="eastAsia" w:cs="宋体"/>
          <w:sz w:val="32"/>
          <w:szCs w:val="32"/>
        </w:rPr>
        <w:t>国务院办公厅关于进一步深化税收征管改革的意见》《民政部“十四五”社会组织发展规划》和《中国注册税务师协会关于推进新时代税务师行业高质量发展的指导意见》及相关法规政策，结合税务师行业实际和中国注册税务师协会职责，制定本规划。</w:t>
      </w:r>
    </w:p>
    <w:p>
      <w:pPr>
        <w:numPr>
          <w:ilvl w:val="0"/>
          <w:numId w:val="1"/>
        </w:numPr>
        <w:spacing w:line="620" w:lineRule="exact"/>
        <w:ind w:firstLine="640" w:firstLineChars="200"/>
        <w:rPr>
          <w:rFonts w:ascii="黑体" w:hAnsi="黑体" w:eastAsia="黑体" w:cs="Times New Roman"/>
          <w:sz w:val="32"/>
          <w:szCs w:val="32"/>
        </w:rPr>
      </w:pPr>
      <w:r>
        <w:rPr>
          <w:rFonts w:hint="eastAsia" w:ascii="黑体" w:hAnsi="黑体" w:eastAsia="黑体" w:cs="黑体"/>
          <w:sz w:val="32"/>
          <w:szCs w:val="32"/>
        </w:rPr>
        <w:t>“十三五”时期主要成绩</w:t>
      </w:r>
    </w:p>
    <w:p>
      <w:pPr>
        <w:spacing w:line="620" w:lineRule="exact"/>
        <w:ind w:firstLine="640" w:firstLineChars="200"/>
        <w:rPr>
          <w:rFonts w:cs="Times New Roman"/>
          <w:sz w:val="32"/>
          <w:szCs w:val="32"/>
        </w:rPr>
      </w:pPr>
      <w:r>
        <w:rPr>
          <w:rFonts w:hint="eastAsia" w:cs="宋体"/>
          <w:sz w:val="32"/>
          <w:szCs w:val="32"/>
        </w:rPr>
        <w:t>党的十八大以来，以习近平同志为核心的党中央在治国理政的新实践中，形成了一系列新理念、新思想、新战略，为新时代税务师行业健康有序发展提供了根本遵循和行动指南。“十三五”时期，税务师行业坚持以习近平新时代中国特色社会主义思想为指导，自觉服务党和国家改革发展大局，服务高质量建设新时代税收现代化，加强党对税务师行业的全面领导，引领行业正确发展方向，以政治建设为统领，推动税务师行业在稳中求进中取得新成绩。</w:t>
      </w:r>
    </w:p>
    <w:p>
      <w:pPr>
        <w:spacing w:line="620" w:lineRule="exact"/>
        <w:ind w:firstLine="643" w:firstLineChars="200"/>
        <w:rPr>
          <w:rFonts w:cs="Times New Roman"/>
          <w:sz w:val="32"/>
          <w:szCs w:val="32"/>
        </w:rPr>
      </w:pPr>
      <w:r>
        <w:rPr>
          <w:rFonts w:hint="eastAsia" w:cs="宋体"/>
          <w:b/>
          <w:bCs/>
          <w:sz w:val="32"/>
          <w:szCs w:val="32"/>
        </w:rPr>
        <w:t>党的领导不断加强。</w:t>
      </w:r>
      <w:r>
        <w:rPr>
          <w:rFonts w:hint="eastAsia" w:cs="宋体"/>
          <w:sz w:val="32"/>
          <w:szCs w:val="32"/>
        </w:rPr>
        <w:t>行业各级党组织认真学习贯彻落实党中央关于社会组织党的建设的部署要求，以政治建设为统领，全面加强税务师行业党的建设。税务总局党委和税务师行业党委先后印发加强税务师行业党的建设工作的指导意见和实施意见，依托全国</w:t>
      </w:r>
      <w:r>
        <w:rPr>
          <w:sz w:val="32"/>
          <w:szCs w:val="32"/>
        </w:rPr>
        <w:t>36</w:t>
      </w:r>
      <w:r>
        <w:rPr>
          <w:rFonts w:hint="eastAsia" w:cs="宋体"/>
          <w:sz w:val="32"/>
          <w:szCs w:val="32"/>
        </w:rPr>
        <w:t>个地方税协成立行业党委，行业基层党组织达到</w:t>
      </w:r>
      <w:r>
        <w:rPr>
          <w:sz w:val="32"/>
          <w:szCs w:val="32"/>
        </w:rPr>
        <w:t>1107</w:t>
      </w:r>
      <w:r>
        <w:rPr>
          <w:rFonts w:hint="eastAsia" w:cs="宋体"/>
          <w:sz w:val="32"/>
          <w:szCs w:val="32"/>
        </w:rPr>
        <w:t>个，行业党员</w:t>
      </w:r>
      <w:r>
        <w:rPr>
          <w:sz w:val="32"/>
          <w:szCs w:val="32"/>
        </w:rPr>
        <w:t>8631</w:t>
      </w:r>
      <w:r>
        <w:rPr>
          <w:rFonts w:hint="eastAsia" w:cs="宋体"/>
          <w:sz w:val="32"/>
          <w:szCs w:val="32"/>
        </w:rPr>
        <w:t>名，入党积极分子</w:t>
      </w:r>
      <w:r>
        <w:rPr>
          <w:sz w:val="32"/>
          <w:szCs w:val="32"/>
        </w:rPr>
        <w:t>830</w:t>
      </w:r>
      <w:r>
        <w:rPr>
          <w:rFonts w:hint="eastAsia" w:cs="宋体"/>
          <w:sz w:val="32"/>
          <w:szCs w:val="32"/>
        </w:rPr>
        <w:t>人，选派党建工作指导员</w:t>
      </w:r>
      <w:r>
        <w:rPr>
          <w:sz w:val="32"/>
          <w:szCs w:val="32"/>
        </w:rPr>
        <w:t>914</w:t>
      </w:r>
      <w:r>
        <w:rPr>
          <w:rFonts w:hint="eastAsia" w:cs="宋体"/>
          <w:sz w:val="32"/>
          <w:szCs w:val="32"/>
        </w:rPr>
        <w:t>名，建立全国行业基层党组织示范基地</w:t>
      </w:r>
      <w:r>
        <w:rPr>
          <w:sz w:val="32"/>
          <w:szCs w:val="32"/>
        </w:rPr>
        <w:t>55</w:t>
      </w:r>
      <w:r>
        <w:rPr>
          <w:rFonts w:hint="eastAsia" w:cs="宋体"/>
          <w:sz w:val="32"/>
          <w:szCs w:val="32"/>
        </w:rPr>
        <w:t>个，中税协和</w:t>
      </w:r>
      <w:r>
        <w:rPr>
          <w:sz w:val="32"/>
          <w:szCs w:val="32"/>
        </w:rPr>
        <w:t>35</w:t>
      </w:r>
      <w:r>
        <w:rPr>
          <w:rFonts w:hint="eastAsia" w:cs="宋体"/>
          <w:sz w:val="32"/>
          <w:szCs w:val="32"/>
        </w:rPr>
        <w:t>个省级税协在章程中写入党建工作要求，实现党的组织和党的工作在全行业有效覆盖，为行业党组织在税务师行业高质量发展中发挥政治引领作用打下坚实基础。行业统战工作也积极推进，“两代表一委员”共</w:t>
      </w:r>
      <w:r>
        <w:rPr>
          <w:sz w:val="32"/>
          <w:szCs w:val="32"/>
        </w:rPr>
        <w:t>301</w:t>
      </w:r>
      <w:r>
        <w:rPr>
          <w:rFonts w:hint="eastAsia" w:cs="宋体"/>
          <w:sz w:val="32"/>
          <w:szCs w:val="32"/>
        </w:rPr>
        <w:t>个席位，结构比例大幅提升，成立税务师服务团和</w:t>
      </w:r>
      <w:r>
        <w:rPr>
          <w:sz w:val="32"/>
          <w:szCs w:val="32"/>
        </w:rPr>
        <w:t>36</w:t>
      </w:r>
      <w:r>
        <w:rPr>
          <w:rFonts w:hint="eastAsia" w:cs="宋体"/>
          <w:sz w:val="32"/>
          <w:szCs w:val="32"/>
        </w:rPr>
        <w:t>个分团，发挥专业服务作用，举办公益大讲堂等活动，开展“同心”服务。</w:t>
      </w:r>
    </w:p>
    <w:p>
      <w:pPr>
        <w:spacing w:line="620" w:lineRule="exact"/>
        <w:ind w:firstLine="643" w:firstLineChars="200"/>
        <w:rPr>
          <w:rFonts w:cs="Times New Roman"/>
          <w:sz w:val="32"/>
          <w:szCs w:val="32"/>
        </w:rPr>
      </w:pPr>
      <w:r>
        <w:rPr>
          <w:rFonts w:hint="eastAsia" w:cs="宋体"/>
          <w:b/>
          <w:bCs/>
          <w:sz w:val="32"/>
          <w:szCs w:val="32"/>
        </w:rPr>
        <w:t>服务税收共治成绩斐然。</w:t>
      </w:r>
      <w:r>
        <w:rPr>
          <w:rFonts w:hint="eastAsia" w:cs="宋体"/>
          <w:sz w:val="32"/>
          <w:szCs w:val="32"/>
        </w:rPr>
        <w:t>中税协勇担普及税法重任，在税务总局领导下连续举办全国税法知识竞赛，累计</w:t>
      </w:r>
      <w:r>
        <w:rPr>
          <w:sz w:val="32"/>
          <w:szCs w:val="32"/>
        </w:rPr>
        <w:t>40</w:t>
      </w:r>
      <w:r>
        <w:rPr>
          <w:rFonts w:hint="eastAsia" w:cs="宋体"/>
          <w:sz w:val="32"/>
          <w:szCs w:val="32"/>
        </w:rPr>
        <w:t>余万人参加，并开展了税法宣传进校园、进企业等公益活动，受到了时任全国政协副主席刘晓峰和有关部门领导的高度评价。带领全行业发挥专业优势和桥梁纽带作用，积极配合各级税务机关开展税收政策宣讲辅导等公益活动。据不完全统计，组织会员开展面授培训</w:t>
      </w:r>
      <w:r>
        <w:rPr>
          <w:sz w:val="32"/>
          <w:szCs w:val="32"/>
        </w:rPr>
        <w:t>11748</w:t>
      </w:r>
      <w:r>
        <w:rPr>
          <w:rFonts w:hint="eastAsia" w:cs="宋体"/>
          <w:sz w:val="32"/>
          <w:szCs w:val="32"/>
        </w:rPr>
        <w:t>场，培训</w:t>
      </w:r>
      <w:r>
        <w:rPr>
          <w:sz w:val="32"/>
          <w:szCs w:val="32"/>
        </w:rPr>
        <w:t>1280557</w:t>
      </w:r>
      <w:r>
        <w:rPr>
          <w:rFonts w:hint="eastAsia" w:cs="宋体"/>
          <w:sz w:val="32"/>
          <w:szCs w:val="32"/>
        </w:rPr>
        <w:t>人次；网络培训</w:t>
      </w:r>
      <w:r>
        <w:rPr>
          <w:sz w:val="32"/>
          <w:szCs w:val="32"/>
        </w:rPr>
        <w:t>1242</w:t>
      </w:r>
      <w:r>
        <w:rPr>
          <w:rFonts w:hint="eastAsia" w:cs="宋体"/>
          <w:sz w:val="32"/>
          <w:szCs w:val="32"/>
        </w:rPr>
        <w:t>场，培训</w:t>
      </w:r>
      <w:r>
        <w:rPr>
          <w:sz w:val="32"/>
          <w:szCs w:val="32"/>
        </w:rPr>
        <w:t>265518</w:t>
      </w:r>
      <w:r>
        <w:rPr>
          <w:rFonts w:hint="eastAsia" w:cs="宋体"/>
          <w:sz w:val="32"/>
          <w:szCs w:val="32"/>
        </w:rPr>
        <w:t>人次；服务企业</w:t>
      </w:r>
      <w:r>
        <w:rPr>
          <w:sz w:val="32"/>
          <w:szCs w:val="32"/>
        </w:rPr>
        <w:t>171413</w:t>
      </w:r>
      <w:r>
        <w:rPr>
          <w:rFonts w:hint="eastAsia" w:cs="宋体"/>
          <w:sz w:val="32"/>
          <w:szCs w:val="32"/>
        </w:rPr>
        <w:t>户。在营改增、个人所得税改革、减税降费等工作中起到了添砖加瓦的正向作用。持续推进行业立法，提交十余项立法议案、建议和提案；</w:t>
      </w:r>
      <w:r>
        <w:rPr>
          <w:sz w:val="32"/>
          <w:szCs w:val="32"/>
        </w:rPr>
        <w:t>2016</w:t>
      </w:r>
      <w:r>
        <w:rPr>
          <w:rFonts w:hint="eastAsia" w:cs="宋体"/>
          <w:sz w:val="32"/>
          <w:szCs w:val="32"/>
        </w:rPr>
        <w:t>年刘晓峰副主席率全国政协社法委专题组赴天津、上海、四川、广东就涉税专业服务的法治保障进行深入调研，形成《涉税专业服务的法治保障专题调研报告》并上报国务院。</w:t>
      </w:r>
    </w:p>
    <w:p>
      <w:pPr>
        <w:spacing w:line="620" w:lineRule="exact"/>
        <w:ind w:firstLine="643" w:firstLineChars="200"/>
        <w:rPr>
          <w:rFonts w:cs="Times New Roman"/>
          <w:sz w:val="32"/>
          <w:szCs w:val="32"/>
        </w:rPr>
      </w:pPr>
      <w:r>
        <w:rPr>
          <w:rFonts w:hint="eastAsia" w:cs="宋体"/>
          <w:b/>
          <w:bCs/>
          <w:sz w:val="32"/>
          <w:szCs w:val="32"/>
        </w:rPr>
        <w:t>自律管理不断深化。</w:t>
      </w:r>
      <w:r>
        <w:rPr>
          <w:rFonts w:hint="eastAsia" w:cs="宋体"/>
          <w:sz w:val="32"/>
          <w:szCs w:val="32"/>
        </w:rPr>
        <w:t>修订了《中国注册税务师协会章程》《中国注册税务师协会会员登记办法》《中国注册税务师协会会员执业违规行为惩戒办法》《税务师行业突出贡献奖评审办法》和《中税协会员会费交纳使用管理办法》等制度。不断规范等级事务所认定，对《等级税务师事务所认定办法》进行了三次修订。</w:t>
      </w:r>
      <w:r>
        <w:rPr>
          <w:sz w:val="32"/>
          <w:szCs w:val="32"/>
        </w:rPr>
        <w:t>5A</w:t>
      </w:r>
      <w:r>
        <w:rPr>
          <w:rFonts w:hint="eastAsia" w:cs="宋体"/>
          <w:sz w:val="32"/>
          <w:szCs w:val="32"/>
        </w:rPr>
        <w:t>级税务师事务所由</w:t>
      </w:r>
      <w:r>
        <w:rPr>
          <w:sz w:val="32"/>
          <w:szCs w:val="32"/>
        </w:rPr>
        <w:t>19</w:t>
      </w:r>
      <w:r>
        <w:rPr>
          <w:rFonts w:hint="eastAsia" w:cs="宋体"/>
          <w:sz w:val="32"/>
          <w:szCs w:val="32"/>
        </w:rPr>
        <w:t>家增加到</w:t>
      </w:r>
      <w:r>
        <w:rPr>
          <w:sz w:val="32"/>
          <w:szCs w:val="32"/>
        </w:rPr>
        <w:t>37</w:t>
      </w:r>
      <w:r>
        <w:rPr>
          <w:rFonts w:hint="eastAsia" w:cs="宋体"/>
          <w:sz w:val="32"/>
          <w:szCs w:val="32"/>
        </w:rPr>
        <w:t>家，</w:t>
      </w:r>
      <w:r>
        <w:rPr>
          <w:sz w:val="32"/>
          <w:szCs w:val="32"/>
        </w:rPr>
        <w:t>5A</w:t>
      </w:r>
      <w:r>
        <w:rPr>
          <w:rFonts w:hint="eastAsia" w:cs="宋体"/>
          <w:sz w:val="32"/>
          <w:szCs w:val="32"/>
        </w:rPr>
        <w:t>级授牌分支机构由</w:t>
      </w:r>
      <w:r>
        <w:rPr>
          <w:sz w:val="32"/>
          <w:szCs w:val="32"/>
        </w:rPr>
        <w:t>69</w:t>
      </w:r>
      <w:r>
        <w:rPr>
          <w:rFonts w:hint="eastAsia" w:cs="宋体"/>
          <w:sz w:val="32"/>
          <w:szCs w:val="32"/>
        </w:rPr>
        <w:t>家增加到</w:t>
      </w:r>
      <w:r>
        <w:rPr>
          <w:sz w:val="32"/>
          <w:szCs w:val="32"/>
        </w:rPr>
        <w:t>140</w:t>
      </w:r>
      <w:r>
        <w:rPr>
          <w:rFonts w:hint="eastAsia" w:cs="宋体"/>
          <w:sz w:val="32"/>
          <w:szCs w:val="32"/>
        </w:rPr>
        <w:t>家，</w:t>
      </w:r>
      <w:r>
        <w:rPr>
          <w:sz w:val="32"/>
          <w:szCs w:val="32"/>
        </w:rPr>
        <w:t>4A</w:t>
      </w:r>
      <w:r>
        <w:rPr>
          <w:rFonts w:hint="eastAsia" w:cs="宋体"/>
          <w:sz w:val="32"/>
          <w:szCs w:val="32"/>
        </w:rPr>
        <w:t>级税务师事务所由</w:t>
      </w:r>
      <w:r>
        <w:rPr>
          <w:sz w:val="32"/>
          <w:szCs w:val="32"/>
        </w:rPr>
        <w:t>7</w:t>
      </w:r>
      <w:r>
        <w:rPr>
          <w:rFonts w:hint="eastAsia" w:cs="宋体"/>
          <w:sz w:val="32"/>
          <w:szCs w:val="32"/>
        </w:rPr>
        <w:t>家增加到</w:t>
      </w:r>
      <w:r>
        <w:rPr>
          <w:sz w:val="32"/>
          <w:szCs w:val="32"/>
        </w:rPr>
        <w:t>35</w:t>
      </w:r>
      <w:r>
        <w:rPr>
          <w:rFonts w:hint="eastAsia" w:cs="宋体"/>
          <w:sz w:val="32"/>
          <w:szCs w:val="32"/>
        </w:rPr>
        <w:t>家。及时更新发布税务师行业涉税专业服务规范，构建新体系、推出新指引；依据</w:t>
      </w:r>
      <w:r>
        <w:rPr>
          <w:sz w:val="32"/>
          <w:szCs w:val="32"/>
        </w:rPr>
        <w:t>13</w:t>
      </w:r>
      <w:r>
        <w:rPr>
          <w:rFonts w:hint="eastAsia" w:cs="宋体"/>
          <w:sz w:val="32"/>
          <w:szCs w:val="32"/>
        </w:rPr>
        <w:t>号公告八大类业务重新构建</w:t>
      </w:r>
      <w:r>
        <w:rPr>
          <w:sz w:val="32"/>
          <w:szCs w:val="32"/>
        </w:rPr>
        <w:t>1+11+N</w:t>
      </w:r>
      <w:r>
        <w:rPr>
          <w:rFonts w:hint="eastAsia" w:cs="宋体"/>
          <w:sz w:val="32"/>
          <w:szCs w:val="32"/>
        </w:rPr>
        <w:t>业务规范体系，制发共</w:t>
      </w:r>
      <w:r>
        <w:rPr>
          <w:sz w:val="32"/>
          <w:szCs w:val="32"/>
        </w:rPr>
        <w:t>35</w:t>
      </w:r>
      <w:r>
        <w:rPr>
          <w:rFonts w:hint="eastAsia" w:cs="宋体"/>
          <w:sz w:val="32"/>
          <w:szCs w:val="32"/>
        </w:rPr>
        <w:t>项指引，并出版发行《中国注册税务师行业制度汇编</w:t>
      </w:r>
      <w:r>
        <w:rPr>
          <w:sz w:val="32"/>
          <w:szCs w:val="32"/>
        </w:rPr>
        <w:t>——</w:t>
      </w:r>
      <w:r>
        <w:rPr>
          <w:rFonts w:hint="eastAsia" w:cs="宋体"/>
          <w:sz w:val="32"/>
          <w:szCs w:val="32"/>
        </w:rPr>
        <w:t>业务规范类·业务指引</w:t>
      </w:r>
      <w:r>
        <w:rPr>
          <w:sz w:val="32"/>
          <w:szCs w:val="32"/>
        </w:rPr>
        <w:t>(</w:t>
      </w:r>
      <w:r>
        <w:rPr>
          <w:rFonts w:hint="eastAsia" w:cs="宋体"/>
          <w:sz w:val="32"/>
          <w:szCs w:val="32"/>
        </w:rPr>
        <w:t>一</w:t>
      </w:r>
      <w:r>
        <w:rPr>
          <w:sz w:val="32"/>
          <w:szCs w:val="32"/>
        </w:rPr>
        <w:t>)</w:t>
      </w:r>
      <w:r>
        <w:rPr>
          <w:rFonts w:hint="eastAsia" w:cs="宋体"/>
          <w:sz w:val="32"/>
          <w:szCs w:val="32"/>
        </w:rPr>
        <w:t>》和《指导目录》。评选税务师行业突出贡献奖</w:t>
      </w:r>
      <w:r>
        <w:rPr>
          <w:sz w:val="32"/>
          <w:szCs w:val="32"/>
        </w:rPr>
        <w:t>79</w:t>
      </w:r>
      <w:r>
        <w:rPr>
          <w:rFonts w:hint="eastAsia" w:cs="宋体"/>
          <w:sz w:val="32"/>
          <w:szCs w:val="32"/>
        </w:rPr>
        <w:t>个。</w:t>
      </w:r>
    </w:p>
    <w:p>
      <w:pPr>
        <w:spacing w:line="620" w:lineRule="exact"/>
        <w:ind w:firstLine="643" w:firstLineChars="200"/>
        <w:rPr>
          <w:rFonts w:cs="Times New Roman"/>
          <w:sz w:val="32"/>
          <w:szCs w:val="32"/>
        </w:rPr>
      </w:pPr>
      <w:r>
        <w:rPr>
          <w:rFonts w:hint="eastAsia" w:cs="宋体"/>
          <w:b/>
          <w:bCs/>
          <w:sz w:val="32"/>
          <w:szCs w:val="32"/>
        </w:rPr>
        <w:t>协会治理和服务能力不断提升。</w:t>
      </w:r>
      <w:r>
        <w:rPr>
          <w:rFonts w:hint="eastAsia" w:cs="宋体"/>
          <w:sz w:val="32"/>
          <w:szCs w:val="32"/>
        </w:rPr>
        <w:t>完成协会换届，选举产生第六届理事会和领导班子，落实税务总局和民政部有关要求，与时俱进修订协会章程和会员会费管理办法，进一步降低会员会费负担。与中国物业管理协会等</w:t>
      </w:r>
      <w:r>
        <w:rPr>
          <w:sz w:val="32"/>
          <w:szCs w:val="32"/>
        </w:rPr>
        <w:t>5</w:t>
      </w:r>
      <w:r>
        <w:rPr>
          <w:rFonts w:hint="eastAsia" w:cs="宋体"/>
          <w:sz w:val="32"/>
          <w:szCs w:val="32"/>
        </w:rPr>
        <w:t>家行业协会商会建立战略合作关系，为会员搭建高层次业务拓展平台。建成功能完备的教育培训平台，实现线上线下教育培训学时综合管理，建立师资库、高端人才和税务治理领军人才库，开展网络直播培训。在官网设置税务师事务所人才招聘专栏，推动行业产教融合，进一步解决会员招人难问题。搭建完成包括税务师考试管理系统、行业管理系统、业务支持系统、行业服务系统和内部管理系统等</w:t>
      </w:r>
      <w:r>
        <w:rPr>
          <w:sz w:val="32"/>
          <w:szCs w:val="32"/>
        </w:rPr>
        <w:t>15</w:t>
      </w:r>
      <w:r>
        <w:rPr>
          <w:rFonts w:hint="eastAsia" w:cs="宋体"/>
          <w:sz w:val="32"/>
          <w:szCs w:val="32"/>
        </w:rPr>
        <w:t>个子系统在内的全行业统一的云服务平台，共计</w:t>
      </w:r>
      <w:r>
        <w:rPr>
          <w:sz w:val="32"/>
          <w:szCs w:val="32"/>
        </w:rPr>
        <w:t>95</w:t>
      </w:r>
      <w:r>
        <w:rPr>
          <w:rFonts w:hint="eastAsia" w:cs="宋体"/>
          <w:sz w:val="32"/>
          <w:szCs w:val="32"/>
        </w:rPr>
        <w:t>个功能模块，年均登录量为</w:t>
      </w:r>
      <w:r>
        <w:rPr>
          <w:sz w:val="32"/>
          <w:szCs w:val="32"/>
        </w:rPr>
        <w:t>68.5</w:t>
      </w:r>
      <w:r>
        <w:rPr>
          <w:rFonts w:hint="eastAsia" w:cs="宋体"/>
          <w:sz w:val="32"/>
          <w:szCs w:val="32"/>
        </w:rPr>
        <w:t>万人次，实现从考生报名、证书发放、入会、执业至注销的全生命周期管理。建成行业网络视频会议系统，在线组织召开全国范围内的会议二十余次，累计参会人员上万人次，进一步提升了工作效率。制定《中国注册税务师协会应用系统软件开发与维护管理办法》，为行业信息化建设提供了重要制度依据。完成中税协官网改版，内容更加丰富，下设各级栏目</w:t>
      </w:r>
      <w:r>
        <w:rPr>
          <w:sz w:val="32"/>
          <w:szCs w:val="32"/>
        </w:rPr>
        <w:t>39</w:t>
      </w:r>
      <w:r>
        <w:rPr>
          <w:rFonts w:hint="eastAsia" w:cs="宋体"/>
          <w:sz w:val="32"/>
          <w:szCs w:val="32"/>
        </w:rPr>
        <w:t>个，年均访问量达</w:t>
      </w:r>
      <w:r>
        <w:rPr>
          <w:sz w:val="32"/>
          <w:szCs w:val="32"/>
        </w:rPr>
        <w:t>510</w:t>
      </w:r>
      <w:r>
        <w:rPr>
          <w:rFonts w:hint="eastAsia" w:cs="宋体"/>
          <w:sz w:val="32"/>
          <w:szCs w:val="32"/>
        </w:rPr>
        <w:t>万次；加强新媒体建设，开通中税协官方微信公众号，粉丝数从</w:t>
      </w:r>
      <w:r>
        <w:rPr>
          <w:sz w:val="32"/>
          <w:szCs w:val="32"/>
        </w:rPr>
        <w:t>2016</w:t>
      </w:r>
      <w:r>
        <w:rPr>
          <w:rFonts w:hint="eastAsia" w:cs="宋体"/>
          <w:sz w:val="32"/>
          <w:szCs w:val="32"/>
        </w:rPr>
        <w:t>年年初的</w:t>
      </w:r>
      <w:r>
        <w:rPr>
          <w:sz w:val="32"/>
          <w:szCs w:val="32"/>
        </w:rPr>
        <w:t>29060</w:t>
      </w:r>
      <w:r>
        <w:rPr>
          <w:rFonts w:hint="eastAsia" w:cs="宋体"/>
          <w:sz w:val="32"/>
          <w:szCs w:val="32"/>
        </w:rPr>
        <w:t>人，增长至</w:t>
      </w:r>
      <w:r>
        <w:rPr>
          <w:sz w:val="32"/>
          <w:szCs w:val="32"/>
        </w:rPr>
        <w:t>2020</w:t>
      </w:r>
      <w:r>
        <w:rPr>
          <w:rFonts w:hint="eastAsia" w:cs="宋体"/>
          <w:sz w:val="32"/>
          <w:szCs w:val="32"/>
        </w:rPr>
        <w:t>年底的</w:t>
      </w:r>
      <w:r>
        <w:rPr>
          <w:sz w:val="32"/>
          <w:szCs w:val="32"/>
        </w:rPr>
        <w:t>41.2</w:t>
      </w:r>
      <w:r>
        <w:rPr>
          <w:rFonts w:hint="eastAsia" w:cs="宋体"/>
          <w:sz w:val="32"/>
          <w:szCs w:val="32"/>
        </w:rPr>
        <w:t>万人，截至</w:t>
      </w:r>
      <w:r>
        <w:rPr>
          <w:sz w:val="32"/>
          <w:szCs w:val="32"/>
        </w:rPr>
        <w:t>2020</w:t>
      </w:r>
      <w:r>
        <w:rPr>
          <w:rFonts w:hint="eastAsia" w:cs="宋体"/>
          <w:sz w:val="32"/>
          <w:szCs w:val="32"/>
        </w:rPr>
        <w:t>年底中税协官方微信总阅读量已达</w:t>
      </w:r>
      <w:r>
        <w:rPr>
          <w:sz w:val="32"/>
          <w:szCs w:val="32"/>
        </w:rPr>
        <w:t>1143.3</w:t>
      </w:r>
      <w:r>
        <w:rPr>
          <w:rFonts w:hint="eastAsia" w:cs="宋体"/>
          <w:sz w:val="32"/>
          <w:szCs w:val="32"/>
        </w:rPr>
        <w:t>万人次。持续提供法律法规服务，中税协法律法规库年均访问量达</w:t>
      </w:r>
      <w:r>
        <w:rPr>
          <w:sz w:val="32"/>
          <w:szCs w:val="32"/>
        </w:rPr>
        <w:t>300</w:t>
      </w:r>
      <w:r>
        <w:rPr>
          <w:rFonts w:hint="eastAsia" w:cs="宋体"/>
          <w:sz w:val="32"/>
          <w:szCs w:val="32"/>
        </w:rPr>
        <w:t>万人次。</w:t>
      </w:r>
    </w:p>
    <w:p>
      <w:pPr>
        <w:spacing w:line="620" w:lineRule="exact"/>
        <w:ind w:firstLine="643" w:firstLineChars="200"/>
        <w:rPr>
          <w:rFonts w:cs="Times New Roman"/>
          <w:sz w:val="32"/>
          <w:szCs w:val="32"/>
        </w:rPr>
      </w:pPr>
      <w:r>
        <w:rPr>
          <w:rFonts w:hint="eastAsia" w:cs="宋体"/>
          <w:b/>
          <w:bCs/>
          <w:sz w:val="32"/>
          <w:szCs w:val="32"/>
        </w:rPr>
        <w:t>对外交流不断加强。</w:t>
      </w:r>
      <w:r>
        <w:rPr>
          <w:rFonts w:hint="eastAsia" w:cs="宋体"/>
          <w:sz w:val="32"/>
          <w:szCs w:val="32"/>
        </w:rPr>
        <w:t>十三五期间，组织中税协、地方税协及事务所人员共</w:t>
      </w:r>
      <w:r>
        <w:rPr>
          <w:sz w:val="32"/>
          <w:szCs w:val="32"/>
        </w:rPr>
        <w:t>577</w:t>
      </w:r>
      <w:r>
        <w:rPr>
          <w:rFonts w:hint="eastAsia" w:cs="宋体"/>
          <w:sz w:val="32"/>
          <w:szCs w:val="32"/>
        </w:rPr>
        <w:t>人次参加</w:t>
      </w:r>
      <w:r>
        <w:rPr>
          <w:sz w:val="32"/>
          <w:szCs w:val="32"/>
        </w:rPr>
        <w:t>AOTCA</w:t>
      </w:r>
      <w:r>
        <w:rPr>
          <w:rFonts w:hint="eastAsia" w:cs="宋体"/>
          <w:sz w:val="32"/>
          <w:szCs w:val="32"/>
        </w:rPr>
        <w:t>年会及海峡两岸暨港澳涉税服务论坛。在深圳成功主办</w:t>
      </w:r>
      <w:r>
        <w:rPr>
          <w:rFonts w:hint="eastAsia" w:cs="宋体"/>
          <w:sz w:val="32"/>
          <w:szCs w:val="32"/>
          <w:lang w:val="zh-CN"/>
        </w:rPr>
        <w:t>主题</w:t>
      </w:r>
      <w:r>
        <w:rPr>
          <w:rFonts w:hint="eastAsia" w:cs="宋体"/>
          <w:sz w:val="32"/>
          <w:szCs w:val="32"/>
        </w:rPr>
        <w:t>为</w:t>
      </w:r>
      <w:r>
        <w:rPr>
          <w:rFonts w:hint="eastAsia" w:cs="宋体"/>
          <w:sz w:val="32"/>
          <w:szCs w:val="32"/>
          <w:lang w:val="zh-CN"/>
        </w:rPr>
        <w:t>“全球税改和新科技对产业与税务服务发展的影响”</w:t>
      </w:r>
      <w:r>
        <w:rPr>
          <w:rFonts w:hint="eastAsia" w:cs="宋体"/>
          <w:sz w:val="32"/>
          <w:szCs w:val="32"/>
        </w:rPr>
        <w:t>的</w:t>
      </w:r>
      <w:r>
        <w:rPr>
          <w:sz w:val="32"/>
          <w:szCs w:val="32"/>
        </w:rPr>
        <w:t>2018</w:t>
      </w:r>
      <w:r>
        <w:rPr>
          <w:rFonts w:hint="eastAsia" w:cs="宋体"/>
          <w:sz w:val="32"/>
          <w:szCs w:val="32"/>
        </w:rPr>
        <w:t>年海峡两岸暨港澳涉税服务论坛。一批税务师事务所代表在国际讲台上发表演讲，与国际同仁开展交流合作。热情接待国际同行来访，五年来，接待了来自加拿大、英国等国家及香港、台湾地区的</w:t>
      </w:r>
      <w:r>
        <w:rPr>
          <w:sz w:val="32"/>
          <w:szCs w:val="32"/>
        </w:rPr>
        <w:t>17</w:t>
      </w:r>
      <w:r>
        <w:rPr>
          <w:rFonts w:hint="eastAsia" w:cs="宋体"/>
          <w:sz w:val="32"/>
          <w:szCs w:val="32"/>
        </w:rPr>
        <w:t>个代表团共</w:t>
      </w:r>
      <w:r>
        <w:rPr>
          <w:sz w:val="32"/>
          <w:szCs w:val="32"/>
        </w:rPr>
        <w:t>177</w:t>
      </w:r>
      <w:r>
        <w:rPr>
          <w:rFonts w:hint="eastAsia" w:cs="宋体"/>
          <w:sz w:val="32"/>
          <w:szCs w:val="32"/>
        </w:rPr>
        <w:t>人次的行业同仁来访。行业国际化稳步推进</w:t>
      </w:r>
      <w:r>
        <w:rPr>
          <w:sz w:val="32"/>
          <w:szCs w:val="32"/>
        </w:rPr>
        <w:t xml:space="preserve"> </w:t>
      </w:r>
      <w:r>
        <w:rPr>
          <w:rFonts w:hint="eastAsia" w:cs="宋体"/>
          <w:sz w:val="32"/>
          <w:szCs w:val="32"/>
        </w:rPr>
        <w:t>，部分</w:t>
      </w:r>
      <w:r>
        <w:rPr>
          <w:sz w:val="32"/>
          <w:szCs w:val="32"/>
        </w:rPr>
        <w:t>4A</w:t>
      </w:r>
      <w:r>
        <w:rPr>
          <w:rFonts w:hint="eastAsia" w:cs="宋体"/>
          <w:sz w:val="32"/>
          <w:szCs w:val="32"/>
        </w:rPr>
        <w:t>、</w:t>
      </w:r>
      <w:r>
        <w:rPr>
          <w:sz w:val="32"/>
          <w:szCs w:val="32"/>
        </w:rPr>
        <w:t>5A</w:t>
      </w:r>
      <w:r>
        <w:rPr>
          <w:rFonts w:hint="eastAsia" w:cs="宋体"/>
          <w:sz w:val="32"/>
          <w:szCs w:val="32"/>
        </w:rPr>
        <w:t>税务师事务所已初步开展国际业务，拓展国际市场，为在华外资客户和少数境外投资的中国企业提供相关涉税服务，并加入</w:t>
      </w:r>
      <w:r>
        <w:rPr>
          <w:sz w:val="32"/>
          <w:szCs w:val="32"/>
        </w:rPr>
        <w:t>BDO</w:t>
      </w:r>
      <w:r>
        <w:rPr>
          <w:rFonts w:hint="eastAsia" w:cs="宋体"/>
          <w:sz w:val="32"/>
          <w:szCs w:val="32"/>
        </w:rPr>
        <w:t>、</w:t>
      </w:r>
      <w:r>
        <w:rPr>
          <w:sz w:val="32"/>
          <w:szCs w:val="32"/>
        </w:rPr>
        <w:t>RSM</w:t>
      </w:r>
      <w:r>
        <w:rPr>
          <w:rFonts w:hint="eastAsia" w:cs="宋体"/>
          <w:sz w:val="32"/>
          <w:szCs w:val="32"/>
        </w:rPr>
        <w:t>、</w:t>
      </w:r>
      <w:r>
        <w:rPr>
          <w:sz w:val="32"/>
          <w:szCs w:val="32"/>
        </w:rPr>
        <w:t>HLB</w:t>
      </w:r>
      <w:r>
        <w:rPr>
          <w:rFonts w:hint="eastAsia" w:cs="宋体"/>
          <w:sz w:val="32"/>
          <w:szCs w:val="32"/>
        </w:rPr>
        <w:t>浩信国际、</w:t>
      </w:r>
      <w:r>
        <w:rPr>
          <w:sz w:val="32"/>
          <w:szCs w:val="32"/>
        </w:rPr>
        <w:t>ITSG</w:t>
      </w:r>
      <w:r>
        <w:rPr>
          <w:rFonts w:hint="eastAsia" w:cs="宋体"/>
          <w:sz w:val="32"/>
          <w:szCs w:val="32"/>
        </w:rPr>
        <w:t>等涉税专业服务国际联盟。</w:t>
      </w:r>
    </w:p>
    <w:p>
      <w:pPr>
        <w:spacing w:line="620" w:lineRule="exact"/>
        <w:ind w:firstLine="643" w:firstLineChars="200"/>
        <w:rPr>
          <w:rFonts w:cs="Times New Roman"/>
          <w:sz w:val="32"/>
          <w:szCs w:val="32"/>
        </w:rPr>
      </w:pPr>
      <w:r>
        <w:rPr>
          <w:rFonts w:hint="eastAsia" w:cs="宋体"/>
          <w:b/>
          <w:bCs/>
          <w:sz w:val="32"/>
          <w:szCs w:val="32"/>
        </w:rPr>
        <w:t>后备人才队伍逐步壮大。</w:t>
      </w:r>
      <w:r>
        <w:rPr>
          <w:rFonts w:hint="eastAsia" w:cs="宋体"/>
          <w:sz w:val="32"/>
          <w:szCs w:val="32"/>
        </w:rPr>
        <w:t>自</w:t>
      </w:r>
      <w:r>
        <w:rPr>
          <w:sz w:val="32"/>
          <w:szCs w:val="32"/>
        </w:rPr>
        <w:t>2015</w:t>
      </w:r>
      <w:r>
        <w:rPr>
          <w:rFonts w:hint="eastAsia" w:cs="宋体"/>
          <w:sz w:val="32"/>
          <w:szCs w:val="32"/>
        </w:rPr>
        <w:t>年承接税务师职业资格考试以来，在人社部和税务总局的指导下，按照“细之又细，以稳为要”总要求，中税协成功组织实施</w:t>
      </w:r>
      <w:r>
        <w:rPr>
          <w:sz w:val="32"/>
          <w:szCs w:val="32"/>
        </w:rPr>
        <w:t>6</w:t>
      </w:r>
      <w:r>
        <w:rPr>
          <w:rFonts w:hint="eastAsia" w:cs="宋体"/>
          <w:sz w:val="32"/>
          <w:szCs w:val="32"/>
        </w:rPr>
        <w:t>次考试，总报考人数为</w:t>
      </w:r>
      <w:r>
        <w:rPr>
          <w:sz w:val="32"/>
          <w:szCs w:val="32"/>
        </w:rPr>
        <w:t>296.82</w:t>
      </w:r>
      <w:r>
        <w:rPr>
          <w:rFonts w:hint="eastAsia" w:cs="宋体"/>
          <w:sz w:val="32"/>
          <w:szCs w:val="32"/>
        </w:rPr>
        <w:t>万余人，有</w:t>
      </w:r>
      <w:r>
        <w:rPr>
          <w:sz w:val="32"/>
          <w:szCs w:val="32"/>
        </w:rPr>
        <w:t>11.27</w:t>
      </w:r>
      <w:r>
        <w:rPr>
          <w:rFonts w:hint="eastAsia" w:cs="宋体"/>
          <w:sz w:val="32"/>
          <w:szCs w:val="32"/>
        </w:rPr>
        <w:t>万余人获得税务师职业资格证书。报考人数从</w:t>
      </w:r>
      <w:r>
        <w:rPr>
          <w:sz w:val="32"/>
          <w:szCs w:val="32"/>
        </w:rPr>
        <w:t>2016</w:t>
      </w:r>
      <w:r>
        <w:rPr>
          <w:rFonts w:hint="eastAsia" w:cs="宋体"/>
          <w:sz w:val="32"/>
          <w:szCs w:val="32"/>
        </w:rPr>
        <w:t>年的</w:t>
      </w:r>
      <w:r>
        <w:rPr>
          <w:sz w:val="32"/>
          <w:szCs w:val="32"/>
        </w:rPr>
        <w:t>17.6</w:t>
      </w:r>
      <w:r>
        <w:rPr>
          <w:rFonts w:hint="eastAsia" w:cs="宋体"/>
          <w:sz w:val="32"/>
          <w:szCs w:val="32"/>
        </w:rPr>
        <w:t>万人增长到</w:t>
      </w:r>
      <w:r>
        <w:rPr>
          <w:sz w:val="32"/>
          <w:szCs w:val="32"/>
        </w:rPr>
        <w:t>2020</w:t>
      </w:r>
      <w:r>
        <w:rPr>
          <w:rFonts w:hint="eastAsia" w:cs="宋体"/>
          <w:sz w:val="32"/>
          <w:szCs w:val="32"/>
        </w:rPr>
        <w:t>年的</w:t>
      </w:r>
      <w:r>
        <w:rPr>
          <w:sz w:val="32"/>
          <w:szCs w:val="32"/>
        </w:rPr>
        <w:t>64</w:t>
      </w:r>
      <w:r>
        <w:rPr>
          <w:rFonts w:hint="eastAsia" w:cs="宋体"/>
          <w:sz w:val="32"/>
          <w:szCs w:val="32"/>
        </w:rPr>
        <w:t>万人。在疫情防控压力较大的形势下，考试人数和科次依然实现大幅增长，为选拔行业后备人才作出了积极贡献。</w:t>
      </w:r>
    </w:p>
    <w:p>
      <w:pPr>
        <w:spacing w:line="620" w:lineRule="exact"/>
        <w:ind w:firstLine="643" w:firstLineChars="200"/>
        <w:rPr>
          <w:rFonts w:cs="Times New Roman"/>
          <w:sz w:val="32"/>
          <w:szCs w:val="32"/>
        </w:rPr>
      </w:pPr>
      <w:r>
        <w:rPr>
          <w:rFonts w:hint="eastAsia" w:cs="宋体"/>
          <w:b/>
          <w:bCs/>
          <w:sz w:val="32"/>
          <w:szCs w:val="32"/>
        </w:rPr>
        <w:t>积极履行社会责任。</w:t>
      </w:r>
      <w:r>
        <w:rPr>
          <w:rFonts w:hint="eastAsia" w:cs="宋体"/>
          <w:sz w:val="32"/>
          <w:szCs w:val="32"/>
        </w:rPr>
        <w:t>印发了《关于在防控新型冠状病毒感染的肺炎疫情中有效发挥税务师行业党组织和党员积极作用的通知》《关于指导和帮助会员单位科学精准防疫、有序复工复产的通知》等文件，指导各级党组织和各地税协狠抓落实，确保全行业人员“零感染”，减免会员会费约</w:t>
      </w:r>
      <w:r>
        <w:rPr>
          <w:sz w:val="32"/>
          <w:szCs w:val="32"/>
        </w:rPr>
        <w:t>2520</w:t>
      </w:r>
      <w:r>
        <w:rPr>
          <w:rFonts w:hint="eastAsia" w:cs="宋体"/>
          <w:sz w:val="32"/>
          <w:szCs w:val="32"/>
        </w:rPr>
        <w:t>万元，组织捐款</w:t>
      </w:r>
      <w:r>
        <w:rPr>
          <w:sz w:val="32"/>
          <w:szCs w:val="32"/>
        </w:rPr>
        <w:t>2079.72</w:t>
      </w:r>
      <w:r>
        <w:rPr>
          <w:rFonts w:hint="eastAsia" w:cs="宋体"/>
          <w:sz w:val="32"/>
          <w:szCs w:val="32"/>
        </w:rPr>
        <w:t>万余元，捐赠医疗物资</w:t>
      </w:r>
      <w:r>
        <w:rPr>
          <w:sz w:val="32"/>
          <w:szCs w:val="32"/>
        </w:rPr>
        <w:t>34.35</w:t>
      </w:r>
      <w:r>
        <w:rPr>
          <w:rFonts w:hint="eastAsia" w:cs="宋体"/>
          <w:sz w:val="32"/>
          <w:szCs w:val="32"/>
        </w:rPr>
        <w:t>万余件套及价值约</w:t>
      </w:r>
      <w:r>
        <w:rPr>
          <w:sz w:val="32"/>
          <w:szCs w:val="32"/>
        </w:rPr>
        <w:t>116.43</w:t>
      </w:r>
      <w:r>
        <w:rPr>
          <w:rFonts w:hint="eastAsia" w:cs="宋体"/>
          <w:sz w:val="32"/>
          <w:szCs w:val="32"/>
        </w:rPr>
        <w:t>万元的生活物品。积极响应税务总局倡议，累计向税务总局定点帮扶地区青海省海东市平安区、民和县捐款</w:t>
      </w:r>
      <w:r>
        <w:rPr>
          <w:sz w:val="32"/>
          <w:szCs w:val="32"/>
        </w:rPr>
        <w:t>140</w:t>
      </w:r>
      <w:r>
        <w:rPr>
          <w:rFonts w:hint="eastAsia" w:cs="宋体"/>
          <w:sz w:val="32"/>
          <w:szCs w:val="32"/>
        </w:rPr>
        <w:t>万元；组织员工采购贫困地区农产</w:t>
      </w:r>
      <w:r>
        <w:rPr>
          <w:rFonts w:hint="eastAsia" w:cs="宋体"/>
          <w:b/>
          <w:bCs/>
          <w:sz w:val="32"/>
          <w:szCs w:val="32"/>
        </w:rPr>
        <w:t>品。</w:t>
      </w:r>
    </w:p>
    <w:p>
      <w:pPr>
        <w:spacing w:line="620" w:lineRule="exact"/>
        <w:ind w:firstLine="643" w:firstLineChars="200"/>
        <w:rPr>
          <w:rFonts w:cs="Times New Roman"/>
          <w:sz w:val="32"/>
          <w:szCs w:val="32"/>
        </w:rPr>
      </w:pPr>
      <w:r>
        <w:rPr>
          <w:rFonts w:hint="eastAsia" w:cs="宋体"/>
          <w:b/>
          <w:bCs/>
          <w:sz w:val="32"/>
          <w:szCs w:val="32"/>
        </w:rPr>
        <w:t>行业发展取得明显成效。</w:t>
      </w:r>
      <w:r>
        <w:rPr>
          <w:rFonts w:hint="eastAsia" w:cs="宋体"/>
          <w:sz w:val="32"/>
          <w:szCs w:val="32"/>
        </w:rPr>
        <w:t>制定《中国注册税务师协会关于推进新时代税务师行业高质量发展的指导意见》，围绕税务师行业法治化、规范化、市场化、专业化、数字化、国际化建设等提出了一系列针对性较强的务实举措。全行业税务师事务所会员从</w:t>
      </w:r>
      <w:r>
        <w:rPr>
          <w:sz w:val="32"/>
          <w:szCs w:val="32"/>
        </w:rPr>
        <w:t>2016</w:t>
      </w:r>
      <w:r>
        <w:rPr>
          <w:rFonts w:hint="eastAsia" w:cs="宋体"/>
          <w:sz w:val="32"/>
          <w:szCs w:val="32"/>
        </w:rPr>
        <w:t>年底的近</w:t>
      </w:r>
      <w:r>
        <w:rPr>
          <w:sz w:val="32"/>
          <w:szCs w:val="32"/>
        </w:rPr>
        <w:t>6000</w:t>
      </w:r>
      <w:r>
        <w:rPr>
          <w:rFonts w:hint="eastAsia" w:cs="宋体"/>
          <w:sz w:val="32"/>
          <w:szCs w:val="32"/>
        </w:rPr>
        <w:t>家增长到</w:t>
      </w:r>
      <w:r>
        <w:rPr>
          <w:sz w:val="32"/>
          <w:szCs w:val="32"/>
        </w:rPr>
        <w:t>2020</w:t>
      </w:r>
      <w:r>
        <w:rPr>
          <w:rFonts w:hint="eastAsia" w:cs="宋体"/>
          <w:sz w:val="32"/>
          <w:szCs w:val="32"/>
        </w:rPr>
        <w:t>年底的</w:t>
      </w:r>
      <w:r>
        <w:rPr>
          <w:sz w:val="32"/>
          <w:szCs w:val="32"/>
        </w:rPr>
        <w:t>7500</w:t>
      </w:r>
      <w:r>
        <w:rPr>
          <w:rFonts w:hint="eastAsia" w:cs="宋体"/>
          <w:sz w:val="32"/>
          <w:szCs w:val="32"/>
        </w:rPr>
        <w:t>余家，执业税务师会员从</w:t>
      </w:r>
      <w:r>
        <w:rPr>
          <w:sz w:val="32"/>
          <w:szCs w:val="32"/>
        </w:rPr>
        <w:t>2016</w:t>
      </w:r>
      <w:r>
        <w:rPr>
          <w:rFonts w:hint="eastAsia" w:cs="宋体"/>
          <w:sz w:val="32"/>
          <w:szCs w:val="32"/>
        </w:rPr>
        <w:t>年底的</w:t>
      </w:r>
      <w:r>
        <w:rPr>
          <w:sz w:val="32"/>
          <w:szCs w:val="32"/>
        </w:rPr>
        <w:t>4.4</w:t>
      </w:r>
      <w:r>
        <w:rPr>
          <w:rFonts w:hint="eastAsia" w:cs="宋体"/>
          <w:sz w:val="32"/>
          <w:szCs w:val="32"/>
        </w:rPr>
        <w:t>万余人增长到</w:t>
      </w:r>
      <w:r>
        <w:rPr>
          <w:sz w:val="32"/>
          <w:szCs w:val="32"/>
        </w:rPr>
        <w:t>2020</w:t>
      </w:r>
      <w:r>
        <w:rPr>
          <w:rFonts w:hint="eastAsia" w:cs="宋体"/>
          <w:sz w:val="32"/>
          <w:szCs w:val="32"/>
        </w:rPr>
        <w:t>年底的近</w:t>
      </w:r>
      <w:r>
        <w:rPr>
          <w:sz w:val="32"/>
          <w:szCs w:val="32"/>
        </w:rPr>
        <w:t>5</w:t>
      </w:r>
      <w:r>
        <w:rPr>
          <w:rFonts w:hint="eastAsia" w:cs="宋体"/>
          <w:sz w:val="32"/>
          <w:szCs w:val="32"/>
        </w:rPr>
        <w:t>万人，行业收入总额从</w:t>
      </w:r>
      <w:r>
        <w:rPr>
          <w:sz w:val="32"/>
          <w:szCs w:val="32"/>
        </w:rPr>
        <w:t>2016</w:t>
      </w:r>
      <w:r>
        <w:rPr>
          <w:rFonts w:hint="eastAsia" w:cs="宋体"/>
          <w:sz w:val="32"/>
          <w:szCs w:val="32"/>
        </w:rPr>
        <w:t>年的</w:t>
      </w:r>
      <w:r>
        <w:rPr>
          <w:sz w:val="32"/>
          <w:szCs w:val="32"/>
        </w:rPr>
        <w:t>158</w:t>
      </w:r>
      <w:r>
        <w:rPr>
          <w:rFonts w:hint="eastAsia" w:cs="宋体"/>
          <w:sz w:val="32"/>
          <w:szCs w:val="32"/>
        </w:rPr>
        <w:t>亿余元增长到</w:t>
      </w:r>
      <w:r>
        <w:rPr>
          <w:sz w:val="32"/>
          <w:szCs w:val="32"/>
        </w:rPr>
        <w:t>2020</w:t>
      </w:r>
      <w:r>
        <w:rPr>
          <w:rFonts w:hint="eastAsia" w:cs="宋体"/>
          <w:sz w:val="32"/>
          <w:szCs w:val="32"/>
        </w:rPr>
        <w:t>年的</w:t>
      </w:r>
      <w:r>
        <w:rPr>
          <w:sz w:val="32"/>
          <w:szCs w:val="32"/>
        </w:rPr>
        <w:t>267</w:t>
      </w:r>
      <w:r>
        <w:rPr>
          <w:rFonts w:hint="eastAsia" w:cs="宋体"/>
          <w:sz w:val="32"/>
          <w:szCs w:val="32"/>
        </w:rPr>
        <w:t>亿余元。</w:t>
      </w:r>
    </w:p>
    <w:p>
      <w:pPr>
        <w:spacing w:line="620" w:lineRule="exact"/>
        <w:ind w:firstLine="640" w:firstLineChars="200"/>
        <w:rPr>
          <w:rFonts w:cs="Times New Roman"/>
          <w:sz w:val="32"/>
          <w:szCs w:val="32"/>
        </w:rPr>
      </w:pPr>
      <w:r>
        <w:rPr>
          <w:rFonts w:hint="eastAsia" w:cs="宋体"/>
          <w:sz w:val="32"/>
          <w:szCs w:val="32"/>
        </w:rPr>
        <w:t>“十三五”期间，税务师行业发展取得长足进步，但仍存在一些短板弱项：党建业务融合工作模式有待进一步探索；行业依法执业的法制基础还需要进一步加强；集团化税务师事务所一体化程度有待提高；行业综合监管合力有待增强；税务师协会服务会员的能力有待进一步提升。</w:t>
      </w:r>
    </w:p>
    <w:p>
      <w:pPr>
        <w:spacing w:line="620" w:lineRule="exact"/>
        <w:ind w:firstLine="640" w:firstLineChars="200"/>
        <w:rPr>
          <w:rFonts w:cs="Times New Roman"/>
          <w:sz w:val="32"/>
          <w:szCs w:val="32"/>
        </w:rPr>
      </w:pPr>
      <w:r>
        <w:rPr>
          <w:rFonts w:hint="eastAsia" w:cs="宋体"/>
          <w:sz w:val="32"/>
          <w:szCs w:val="32"/>
        </w:rPr>
        <w:t>进入“十四五”，国内外环境变化既为税务师行业健康有序发展提供有利条件，也带来一系列新挑战。各级税务师协会必须坚持党的基本理论、基本路线、基本方略，立足新发展阶段，完整、准确、全面贯彻新发展理念，服务国家税收共治、服务构建新发展格局，进一步担当作为、不懈努力，进一步增强忧患意识、始终居安思危，统筹发展和安全，把提质增效、防范风险放到更加突出位置，做严做实做细做好税务师行业自律管理和会员服务等各项工作，推动税务师行业高质量发展。</w:t>
      </w:r>
    </w:p>
    <w:p>
      <w:pPr>
        <w:numPr>
          <w:ilvl w:val="0"/>
          <w:numId w:val="1"/>
        </w:numPr>
        <w:spacing w:line="620" w:lineRule="exact"/>
        <w:ind w:firstLine="640" w:firstLineChars="200"/>
        <w:rPr>
          <w:rFonts w:ascii="黑体" w:hAnsi="黑体" w:eastAsia="黑体" w:cs="Times New Roman"/>
          <w:sz w:val="32"/>
          <w:szCs w:val="32"/>
        </w:rPr>
      </w:pPr>
      <w:r>
        <w:rPr>
          <w:rFonts w:hint="eastAsia" w:ascii="黑体" w:hAnsi="黑体" w:eastAsia="黑体" w:cs="黑体"/>
          <w:sz w:val="32"/>
          <w:szCs w:val="32"/>
        </w:rPr>
        <w:t>总体要求</w:t>
      </w:r>
    </w:p>
    <w:p>
      <w:pPr>
        <w:numPr>
          <w:ilvl w:val="0"/>
          <w:numId w:val="2"/>
        </w:numPr>
        <w:spacing w:line="620" w:lineRule="exact"/>
        <w:ind w:left="420" w:leftChars="200"/>
        <w:rPr>
          <w:rFonts w:ascii="楷体" w:hAnsi="楷体" w:eastAsia="楷体" w:cs="Times New Roman"/>
          <w:b/>
          <w:bCs/>
          <w:sz w:val="32"/>
          <w:szCs w:val="32"/>
        </w:rPr>
      </w:pPr>
      <w:r>
        <w:rPr>
          <w:rFonts w:hint="eastAsia" w:ascii="楷体" w:hAnsi="楷体" w:eastAsia="楷体" w:cs="楷体"/>
          <w:b/>
          <w:bCs/>
          <w:sz w:val="32"/>
          <w:szCs w:val="32"/>
        </w:rPr>
        <w:t>指导思想。</w:t>
      </w:r>
    </w:p>
    <w:p>
      <w:pPr>
        <w:spacing w:line="620" w:lineRule="exact"/>
        <w:ind w:firstLine="640" w:firstLineChars="200"/>
        <w:rPr>
          <w:rFonts w:cs="Times New Roman"/>
          <w:sz w:val="32"/>
          <w:szCs w:val="32"/>
        </w:rPr>
      </w:pPr>
      <w:r>
        <w:rPr>
          <w:rFonts w:hint="eastAsia" w:cs="宋体"/>
          <w:sz w:val="32"/>
          <w:szCs w:val="32"/>
        </w:rPr>
        <w:t>高举中国特色社会主义伟大旗帜，深入贯彻党的十九大和十九届二中、三中、四中、五中、六中全会精神，以习近平新时代中国特色社会主义思想为指导，加强党对税务师行业的全面领导，增强“四个意识”、坚定“四个自信”、做到“两个维护”，坚持稳中求进工作方针，以推动税务师行业高质量发展为主题，以进一步深化税务师行业改革为主线，以创新为根本动力，以提高纳税人和税务机关两个满意度为出发点，以把税务师行业建设成为国际先进、中国特色的涉税专业服务组织为目标，统筹推进税务师行业法治化、市场化、规范化、专业化、数字化、国际化高质量建设，在维护纳税人合法权益和国家税收利益、助力税务机关优化纳税服务和提高征管效能等方面发挥更大作用，为更好服务高质量推进新发展阶段税收现代化建设，为全面建设社会主义现代化国家作出更大贡献。</w:t>
      </w:r>
    </w:p>
    <w:p>
      <w:pPr>
        <w:numPr>
          <w:ilvl w:val="0"/>
          <w:numId w:val="2"/>
        </w:numPr>
        <w:spacing w:line="620" w:lineRule="exact"/>
        <w:ind w:left="420" w:leftChars="200"/>
        <w:rPr>
          <w:rFonts w:ascii="楷体" w:hAnsi="楷体" w:eastAsia="楷体" w:cs="Times New Roman"/>
          <w:b/>
          <w:bCs/>
          <w:sz w:val="32"/>
          <w:szCs w:val="32"/>
        </w:rPr>
      </w:pPr>
      <w:r>
        <w:rPr>
          <w:rFonts w:hint="eastAsia" w:ascii="楷体" w:hAnsi="楷体" w:eastAsia="楷体" w:cs="楷体"/>
          <w:b/>
          <w:bCs/>
          <w:sz w:val="32"/>
          <w:szCs w:val="32"/>
        </w:rPr>
        <w:t>基本原则。</w:t>
      </w:r>
    </w:p>
    <w:p>
      <w:pPr>
        <w:spacing w:line="620" w:lineRule="exact"/>
        <w:ind w:firstLine="643" w:firstLineChars="200"/>
        <w:rPr>
          <w:rFonts w:cs="Times New Roman"/>
          <w:sz w:val="32"/>
          <w:szCs w:val="32"/>
        </w:rPr>
      </w:pPr>
      <w:r>
        <w:rPr>
          <w:rFonts w:hint="eastAsia" w:cs="宋体"/>
          <w:b/>
          <w:bCs/>
          <w:sz w:val="32"/>
          <w:szCs w:val="32"/>
        </w:rPr>
        <w:t>坚持党的全面领导。</w:t>
      </w:r>
      <w:r>
        <w:rPr>
          <w:rFonts w:hint="eastAsia" w:cs="宋体"/>
          <w:sz w:val="32"/>
          <w:szCs w:val="32"/>
        </w:rPr>
        <w:t>坚持和完善党领导税务师行业高质量发展的体制机制，有效实现党的组织和党的工作有效覆盖，将党建工作融入税务师业务工作的各个环节，团结带领全行业从业人员听党话、感党恩、跟党走。</w:t>
      </w:r>
    </w:p>
    <w:p>
      <w:pPr>
        <w:spacing w:line="620" w:lineRule="exact"/>
        <w:ind w:firstLine="643" w:firstLineChars="200"/>
        <w:rPr>
          <w:rFonts w:cs="Times New Roman"/>
          <w:sz w:val="32"/>
          <w:szCs w:val="32"/>
        </w:rPr>
      </w:pPr>
      <w:r>
        <w:rPr>
          <w:rFonts w:hint="eastAsia" w:cs="宋体"/>
          <w:b/>
          <w:bCs/>
          <w:sz w:val="32"/>
          <w:szCs w:val="32"/>
        </w:rPr>
        <w:t>坚持以人民为中心。</w:t>
      </w:r>
      <w:r>
        <w:rPr>
          <w:rFonts w:hint="eastAsia" w:cs="宋体"/>
          <w:sz w:val="32"/>
          <w:szCs w:val="32"/>
        </w:rPr>
        <w:t>落实以人民为中心的发展思想，积极参与推进税收共治，在依法专业服务过程中坚决维护纳税人合法权益，做到行业高质量发展为了人民、依靠人民，不断满足纳税人个性化涉税服务需求。</w:t>
      </w:r>
    </w:p>
    <w:p>
      <w:pPr>
        <w:spacing w:line="620" w:lineRule="exact"/>
        <w:ind w:firstLine="643" w:firstLineChars="200"/>
        <w:rPr>
          <w:rFonts w:cs="Times New Roman"/>
          <w:sz w:val="32"/>
          <w:szCs w:val="32"/>
        </w:rPr>
      </w:pPr>
      <w:r>
        <w:rPr>
          <w:rFonts w:hint="eastAsia" w:cs="宋体"/>
          <w:b/>
          <w:bCs/>
          <w:sz w:val="32"/>
          <w:szCs w:val="32"/>
        </w:rPr>
        <w:t>坚持发展质量优先。</w:t>
      </w:r>
      <w:r>
        <w:rPr>
          <w:rFonts w:hint="eastAsia" w:cs="宋体"/>
          <w:sz w:val="32"/>
          <w:szCs w:val="32"/>
        </w:rPr>
        <w:t>坚持行业高质量发展方向不动摇，加快推动全行业由做大做强向做强做优、做精做专转变，促进税务师事务所打造高质量产品、遵守高标准规范、提供高水平服务、获得高收益回报。</w:t>
      </w:r>
    </w:p>
    <w:p>
      <w:pPr>
        <w:spacing w:line="620" w:lineRule="exact"/>
        <w:ind w:firstLine="643" w:firstLineChars="200"/>
        <w:rPr>
          <w:rFonts w:cs="Times New Roman"/>
          <w:sz w:val="32"/>
          <w:szCs w:val="32"/>
        </w:rPr>
      </w:pPr>
      <w:r>
        <w:rPr>
          <w:rFonts w:hint="eastAsia" w:cs="宋体"/>
          <w:b/>
          <w:bCs/>
          <w:sz w:val="32"/>
          <w:szCs w:val="32"/>
        </w:rPr>
        <w:t>坚持改革创新引领。</w:t>
      </w:r>
      <w:r>
        <w:rPr>
          <w:rFonts w:hint="eastAsia" w:cs="宋体"/>
          <w:sz w:val="32"/>
          <w:szCs w:val="32"/>
        </w:rPr>
        <w:t>树牢行业高质量发展要依靠改革创新的理念，与时俱进深化行业自律管理和会员服务领域各项改革，破解制约行业作用更好发挥的瓶颈问题，强化有利于提高行业资源配置效率的改革举措，守正创新，激发税务师事务所创新创造活力。</w:t>
      </w:r>
    </w:p>
    <w:p>
      <w:pPr>
        <w:spacing w:line="620" w:lineRule="exact"/>
        <w:ind w:firstLine="643" w:firstLineChars="200"/>
        <w:rPr>
          <w:rFonts w:cs="Times New Roman"/>
          <w:sz w:val="32"/>
          <w:szCs w:val="32"/>
        </w:rPr>
      </w:pPr>
      <w:r>
        <w:rPr>
          <w:rFonts w:hint="eastAsia" w:cs="宋体"/>
          <w:b/>
          <w:bCs/>
          <w:sz w:val="32"/>
          <w:szCs w:val="32"/>
        </w:rPr>
        <w:t>坚持系统协作观念。</w:t>
      </w:r>
      <w:r>
        <w:rPr>
          <w:rFonts w:hint="eastAsia" w:cs="宋体"/>
          <w:sz w:val="32"/>
          <w:szCs w:val="32"/>
        </w:rPr>
        <w:t>树立系统观念，统筹业务发展和规范执业，统筹自律管理与会员服务，统筹中税协、地方税协和各方力量，健全行业高质量发展协同推进机制，强化部门协同、上下联动、社会共治、底线思维，提高行业系统治理效能。</w:t>
      </w:r>
    </w:p>
    <w:p>
      <w:pPr>
        <w:numPr>
          <w:ilvl w:val="0"/>
          <w:numId w:val="2"/>
        </w:numPr>
        <w:spacing w:line="620" w:lineRule="exact"/>
        <w:ind w:left="420" w:leftChars="200"/>
        <w:rPr>
          <w:rFonts w:ascii="楷体" w:hAnsi="楷体" w:eastAsia="楷体" w:cs="Times New Roman"/>
          <w:b/>
          <w:bCs/>
          <w:sz w:val="32"/>
          <w:szCs w:val="32"/>
        </w:rPr>
      </w:pPr>
      <w:r>
        <w:rPr>
          <w:rFonts w:hint="eastAsia" w:ascii="楷体" w:hAnsi="楷体" w:eastAsia="楷体" w:cs="楷体"/>
          <w:b/>
          <w:bCs/>
          <w:sz w:val="32"/>
          <w:szCs w:val="32"/>
        </w:rPr>
        <w:t>主要目标。</w:t>
      </w:r>
    </w:p>
    <w:p>
      <w:pPr>
        <w:spacing w:line="620" w:lineRule="exact"/>
        <w:ind w:firstLine="640" w:firstLineChars="200"/>
        <w:rPr>
          <w:rFonts w:cs="Times New Roman"/>
          <w:sz w:val="32"/>
          <w:szCs w:val="32"/>
        </w:rPr>
      </w:pPr>
      <w:r>
        <w:rPr>
          <w:rFonts w:hint="eastAsia" w:cs="宋体"/>
          <w:sz w:val="32"/>
          <w:szCs w:val="32"/>
        </w:rPr>
        <w:t>到</w:t>
      </w:r>
      <w:r>
        <w:rPr>
          <w:sz w:val="32"/>
          <w:szCs w:val="32"/>
        </w:rPr>
        <w:t>2025</w:t>
      </w:r>
      <w:r>
        <w:rPr>
          <w:rFonts w:hint="eastAsia" w:cs="宋体"/>
          <w:sz w:val="32"/>
          <w:szCs w:val="32"/>
        </w:rPr>
        <w:t>年，实现税务师行业党的组织和工作有效全覆盖，实现全行业政治教育覆盖面、培训比例、党员活动阵地建设率、基层党组织标准化规范化达标率以及党建工作入章程、党组织对重大事项进行政治把关、党建业务“一肩挑”和交叉任职的落实率均达到</w:t>
      </w:r>
      <w:r>
        <w:rPr>
          <w:sz w:val="32"/>
          <w:szCs w:val="32"/>
        </w:rPr>
        <w:t>100%</w:t>
      </w:r>
      <w:r>
        <w:rPr>
          <w:rFonts w:hint="eastAsia" w:cs="宋体"/>
          <w:sz w:val="32"/>
          <w:szCs w:val="32"/>
        </w:rPr>
        <w:t>，形成一整套具有税务师特色的系统完备、务实管用、成熟有效的党建制度机制体系。</w:t>
      </w:r>
    </w:p>
    <w:p>
      <w:pPr>
        <w:spacing w:line="620" w:lineRule="exact"/>
        <w:ind w:firstLine="640" w:firstLineChars="200"/>
        <w:rPr>
          <w:rFonts w:cs="Times New Roman"/>
          <w:sz w:val="32"/>
          <w:szCs w:val="32"/>
        </w:rPr>
      </w:pPr>
      <w:r>
        <w:rPr>
          <w:rFonts w:hint="eastAsia" w:cs="宋体"/>
          <w:sz w:val="32"/>
          <w:szCs w:val="32"/>
        </w:rPr>
        <w:t>到</w:t>
      </w:r>
      <w:r>
        <w:rPr>
          <w:sz w:val="32"/>
          <w:szCs w:val="32"/>
        </w:rPr>
        <w:t>2025</w:t>
      </w:r>
      <w:r>
        <w:rPr>
          <w:rFonts w:hint="eastAsia" w:cs="宋体"/>
          <w:sz w:val="32"/>
          <w:szCs w:val="32"/>
        </w:rPr>
        <w:t>年，力争实现服务纳税人缴费人</w:t>
      </w:r>
      <w:r>
        <w:rPr>
          <w:sz w:val="32"/>
          <w:szCs w:val="32"/>
        </w:rPr>
        <w:t>3000</w:t>
      </w:r>
      <w:r>
        <w:rPr>
          <w:rFonts w:hint="eastAsia" w:cs="宋体"/>
          <w:sz w:val="32"/>
          <w:szCs w:val="32"/>
        </w:rPr>
        <w:t>万户，全行业涉税专业服务收入</w:t>
      </w:r>
      <w:r>
        <w:rPr>
          <w:sz w:val="32"/>
          <w:szCs w:val="32"/>
        </w:rPr>
        <w:t>350</w:t>
      </w:r>
      <w:r>
        <w:rPr>
          <w:rFonts w:hint="eastAsia" w:cs="宋体"/>
          <w:sz w:val="32"/>
          <w:szCs w:val="32"/>
        </w:rPr>
        <w:t>亿元。税务师事务所超过</w:t>
      </w:r>
      <w:r>
        <w:rPr>
          <w:sz w:val="32"/>
          <w:szCs w:val="32"/>
        </w:rPr>
        <w:t>1</w:t>
      </w:r>
      <w:r>
        <w:rPr>
          <w:rFonts w:hint="eastAsia" w:cs="宋体"/>
          <w:sz w:val="32"/>
          <w:szCs w:val="32"/>
        </w:rPr>
        <w:t>万家，在事务所工作的税务师</w:t>
      </w:r>
      <w:r>
        <w:rPr>
          <w:sz w:val="32"/>
          <w:szCs w:val="32"/>
        </w:rPr>
        <w:t>6.5</w:t>
      </w:r>
      <w:r>
        <w:rPr>
          <w:rFonts w:hint="eastAsia" w:cs="宋体"/>
          <w:sz w:val="32"/>
          <w:szCs w:val="32"/>
        </w:rPr>
        <w:t>万人左右，从业人员达</w:t>
      </w:r>
      <w:r>
        <w:rPr>
          <w:sz w:val="32"/>
          <w:szCs w:val="32"/>
        </w:rPr>
        <w:t>15</w:t>
      </w:r>
      <w:r>
        <w:rPr>
          <w:rFonts w:hint="eastAsia" w:cs="宋体"/>
          <w:sz w:val="32"/>
          <w:szCs w:val="32"/>
        </w:rPr>
        <w:t>万人左右。取得税务师职业资格的人员</w:t>
      </w:r>
      <w:r>
        <w:rPr>
          <w:sz w:val="32"/>
          <w:szCs w:val="32"/>
        </w:rPr>
        <w:t>20</w:t>
      </w:r>
      <w:r>
        <w:rPr>
          <w:rFonts w:hint="eastAsia" w:cs="宋体"/>
          <w:sz w:val="32"/>
          <w:szCs w:val="32"/>
        </w:rPr>
        <w:t>万人左右，选拔培养行业领军人才</w:t>
      </w:r>
      <w:r>
        <w:rPr>
          <w:sz w:val="32"/>
          <w:szCs w:val="32"/>
        </w:rPr>
        <w:t>500</w:t>
      </w:r>
      <w:r>
        <w:rPr>
          <w:rFonts w:hint="eastAsia" w:cs="宋体"/>
          <w:sz w:val="32"/>
          <w:szCs w:val="32"/>
        </w:rPr>
        <w:t>人、高端人才</w:t>
      </w:r>
      <w:r>
        <w:rPr>
          <w:sz w:val="32"/>
          <w:szCs w:val="32"/>
        </w:rPr>
        <w:t>1000</w:t>
      </w:r>
      <w:r>
        <w:rPr>
          <w:rFonts w:hint="eastAsia" w:cs="宋体"/>
          <w:sz w:val="32"/>
          <w:szCs w:val="32"/>
        </w:rPr>
        <w:t>人左右，培训业务骨干</w:t>
      </w:r>
      <w:r>
        <w:rPr>
          <w:sz w:val="32"/>
          <w:szCs w:val="32"/>
        </w:rPr>
        <w:t>25000</w:t>
      </w:r>
      <w:r>
        <w:rPr>
          <w:rFonts w:hint="eastAsia" w:cs="宋体"/>
          <w:sz w:val="32"/>
          <w:szCs w:val="32"/>
        </w:rPr>
        <w:t>人次左右，形成梯队合理、可持续发展的行业人才队伍。进一步推进行业数字化转型，实现地方税协“一会式”、税务师事务所“一户式”、税务师等从业人员“一人式”信息归集管理，逐步实现涉税业务统一报备和报告签章统一管理。</w:t>
      </w:r>
    </w:p>
    <w:p>
      <w:pPr>
        <w:spacing w:line="620" w:lineRule="exact"/>
        <w:ind w:firstLine="640" w:firstLineChars="200"/>
        <w:rPr>
          <w:rFonts w:cs="Times New Roman"/>
          <w:sz w:val="32"/>
          <w:szCs w:val="32"/>
        </w:rPr>
      </w:pPr>
      <w:r>
        <w:rPr>
          <w:rFonts w:hint="eastAsia" w:cs="宋体"/>
          <w:sz w:val="32"/>
          <w:szCs w:val="32"/>
        </w:rPr>
        <w:t>到</w:t>
      </w:r>
      <w:r>
        <w:rPr>
          <w:sz w:val="32"/>
          <w:szCs w:val="32"/>
        </w:rPr>
        <w:t>2035</w:t>
      </w:r>
      <w:r>
        <w:rPr>
          <w:rFonts w:hint="eastAsia" w:cs="宋体"/>
          <w:sz w:val="32"/>
          <w:szCs w:val="32"/>
        </w:rPr>
        <w:t>年，税务师行业“六化”高质量建设取得阶段成果，税务师行业成为国际先进、中国特色的涉税专业服务组织取得积极进展。行业全国立法取得重要进展，行业地方立法取得重大进展，行业法律制度体系进一步健全。涉税专业服务营商环境进一步优化，公平竞争市场机制基本形成。行业规范指引体系更加科学完备。行业诚信水平、执业能力和服务质量显著提高，维护纳税人合法权益和国家税收利益，助力税务机关优化纳税服务和提高征管效能等方面作用更加突显。行业人才队伍规模、素质和结构显著优化，事务所综合竞争力强、信誉度高，形成一批全社会广泛认可的知名度高、影响力大的税务师事务所品牌。行业基本实现数字化转型，数字化服务产品更加成熟。行业治理能力和水平显著提升。税务师成为令人尊敬的职业，行业公信力、价值与地位、国际话语权以及影响力显著提升。</w:t>
      </w:r>
    </w:p>
    <w:p>
      <w:pPr>
        <w:numPr>
          <w:ilvl w:val="0"/>
          <w:numId w:val="1"/>
        </w:numPr>
        <w:spacing w:line="620" w:lineRule="exact"/>
        <w:ind w:firstLine="640" w:firstLineChars="200"/>
        <w:rPr>
          <w:rFonts w:ascii="黑体" w:hAnsi="黑体" w:eastAsia="黑体" w:cs="Times New Roman"/>
          <w:sz w:val="32"/>
          <w:szCs w:val="32"/>
        </w:rPr>
      </w:pPr>
      <w:r>
        <w:rPr>
          <w:rFonts w:hint="eastAsia" w:ascii="黑体" w:hAnsi="黑体" w:eastAsia="黑体" w:cs="黑体"/>
          <w:sz w:val="32"/>
          <w:szCs w:val="32"/>
        </w:rPr>
        <w:t>主要任务</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（一）全面提升行业党的建设质量。</w:t>
      </w:r>
    </w:p>
    <w:p>
      <w:pPr>
        <w:spacing w:line="620" w:lineRule="exact"/>
        <w:ind w:firstLine="643" w:firstLineChars="200"/>
        <w:rPr>
          <w:rFonts w:ascii="宋体" w:cs="Times New Roman"/>
          <w:sz w:val="32"/>
          <w:szCs w:val="32"/>
        </w:rPr>
      </w:pPr>
      <w:r>
        <w:rPr>
          <w:rFonts w:hint="eastAsia" w:ascii="宋体" w:hAnsi="宋体" w:cs="宋体"/>
          <w:b/>
          <w:bCs/>
          <w:sz w:val="32"/>
          <w:szCs w:val="32"/>
        </w:rPr>
        <w:t>加强政治建设。</w:t>
      </w:r>
      <w:r>
        <w:rPr>
          <w:rFonts w:hint="eastAsia" w:ascii="宋体" w:hAnsi="宋体" w:cs="宋体"/>
          <w:sz w:val="32"/>
          <w:szCs w:val="32"/>
        </w:rPr>
        <w:t>大力加强各级党组织政治建设，引领行业正确发展方向，服从服务于税收现代化建设和经济社会发展大局。强化行业党委全面从严治党主体责任，夯实党委书记第一责任人责任，做到重要工作亲自部署、重要问题亲自过问。建立行业党建工作考核机制，将党组织书记述职评议作为压实管党治党责任的重要抓手，评议结果纳入年度工作评先评优，按照“下抓两级、抓深一层”要求，层层推动责任落实。各省（区、市）行业党委要加强民主生活会督导，领导班子成员自觉以普通党员身份参加双重组织生活，大力推进党务公开。每年以线上线下形式，分级分类实现省级、派出机构和税务师事务所三级党组织书记轮训，提升行业党组织书记政治能力。推动行业群团组织建设，为行业优秀人才政治成长奠定基础。严格落实意识形态工作责任制，自上而下建立健全责任落实制度和具体任务分工，深入落实《中共国家税务总局委员会关于加强税务系统宣传思想工作的意见》，各省（区、市）行业党委每年至少专题研究</w:t>
      </w:r>
      <w:r>
        <w:rPr>
          <w:rFonts w:ascii="宋体" w:hAnsi="宋体" w:cs="宋体"/>
          <w:sz w:val="32"/>
          <w:szCs w:val="32"/>
        </w:rPr>
        <w:t>1</w:t>
      </w:r>
      <w:r>
        <w:rPr>
          <w:rFonts w:hint="eastAsia" w:ascii="宋体" w:hAnsi="宋体" w:cs="宋体"/>
          <w:sz w:val="32"/>
          <w:szCs w:val="32"/>
        </w:rPr>
        <w:t>次意识形态工作。</w:t>
      </w:r>
    </w:p>
    <w:p>
      <w:pPr>
        <w:spacing w:line="620" w:lineRule="exact"/>
        <w:ind w:firstLine="643" w:firstLineChars="200"/>
        <w:rPr>
          <w:rFonts w:ascii="宋体" w:cs="Times New Roman"/>
          <w:sz w:val="32"/>
          <w:szCs w:val="32"/>
        </w:rPr>
      </w:pPr>
      <w:r>
        <w:rPr>
          <w:rFonts w:hint="eastAsia" w:ascii="宋体" w:hAnsi="宋体" w:cs="宋体"/>
          <w:b/>
          <w:bCs/>
          <w:sz w:val="32"/>
          <w:szCs w:val="32"/>
        </w:rPr>
        <w:t>加强思想建设。</w:t>
      </w:r>
      <w:r>
        <w:rPr>
          <w:rFonts w:hint="eastAsia" w:ascii="宋体" w:hAnsi="宋体" w:cs="宋体"/>
          <w:sz w:val="32"/>
          <w:szCs w:val="32"/>
        </w:rPr>
        <w:t>深入学习贯彻习近平新时代中国特色社会主义思想，巩固深化党史学习教育和“不忘初心、牢记使命”主题教育成果，确保行业增强“四个自信”，坚定“四个意识”，做到“两个维护”。建立党务工作者培养和党员教育培训长效机制，依托“税务师党建</w:t>
      </w:r>
      <w:r>
        <w:rPr>
          <w:rFonts w:ascii="宋体" w:hAnsi="宋体" w:cs="宋体"/>
          <w:sz w:val="32"/>
          <w:szCs w:val="32"/>
        </w:rPr>
        <w:t>APP</w:t>
      </w:r>
      <w:r>
        <w:rPr>
          <w:rFonts w:hint="eastAsia" w:ascii="宋体" w:hAnsi="宋体" w:cs="宋体"/>
          <w:sz w:val="32"/>
          <w:szCs w:val="32"/>
        </w:rPr>
        <w:t>”平台、借助各省（区、市）党校主阵地组织学习和轮训，确保行业思想教育覆盖面达</w:t>
      </w:r>
      <w:r>
        <w:rPr>
          <w:rFonts w:ascii="宋体" w:hAnsi="宋体" w:cs="宋体"/>
          <w:sz w:val="32"/>
          <w:szCs w:val="32"/>
        </w:rPr>
        <w:t>100%</w:t>
      </w:r>
      <w:r>
        <w:rPr>
          <w:rFonts w:hint="eastAsia" w:ascii="宋体" w:hAnsi="宋体" w:cs="宋体"/>
          <w:sz w:val="32"/>
          <w:szCs w:val="32"/>
        </w:rPr>
        <w:t>。</w:t>
      </w:r>
    </w:p>
    <w:p>
      <w:pPr>
        <w:spacing w:line="620" w:lineRule="exact"/>
        <w:ind w:firstLine="643" w:firstLineChars="200"/>
        <w:rPr>
          <w:rFonts w:ascii="宋体" w:cs="Times New Roman"/>
          <w:sz w:val="32"/>
          <w:szCs w:val="32"/>
        </w:rPr>
      </w:pPr>
      <w:r>
        <w:rPr>
          <w:rFonts w:hint="eastAsia" w:ascii="宋体" w:hAnsi="宋体" w:cs="宋体"/>
          <w:b/>
          <w:bCs/>
          <w:sz w:val="32"/>
          <w:szCs w:val="32"/>
        </w:rPr>
        <w:t>加强组织建设。</w:t>
      </w:r>
      <w:r>
        <w:rPr>
          <w:rFonts w:hint="eastAsia" w:ascii="宋体" w:hAnsi="宋体" w:cs="宋体"/>
          <w:sz w:val="32"/>
          <w:szCs w:val="32"/>
        </w:rPr>
        <w:t>坚持专兼职结合，选优配强党务工作者队伍，配备专职副书记或专职党委办公室主任、专职工作人员，增强党建工作力量。配强配齐党建工作指导员，推动党的组织和党的工作深入有效覆盖。健全激励机制，增强党建工作活力和创造力。建立行业党建人才库，分级分类培养管理。推进基层党组织标准化规范化建设逐所落实，实现党员活动室等党建阵地全覆盖，创建一批“四强”党支部，确保组织健全、责任明晰、信息精准、制度完善</w:t>
      </w:r>
      <w:r>
        <w:rPr>
          <w:rFonts w:ascii="宋体" w:hAnsi="宋体" w:cs="宋体"/>
          <w:sz w:val="32"/>
          <w:szCs w:val="32"/>
        </w:rPr>
        <w:t>,</w:t>
      </w:r>
      <w:r>
        <w:rPr>
          <w:rFonts w:hint="eastAsia" w:ascii="宋体" w:hAnsi="宋体" w:cs="宋体"/>
          <w:sz w:val="32"/>
          <w:szCs w:val="32"/>
        </w:rPr>
        <w:t>实现党的组织和工作覆盖从有形到有效转变。继续深化“双培”工程，注重对党员发展对象的考验、考察和培养，确保党员发展质量。以税务师行业综合评价体系为依据，探索建立党建业务联动评价机制。</w:t>
      </w:r>
    </w:p>
    <w:p>
      <w:pPr>
        <w:spacing w:line="620" w:lineRule="exact"/>
        <w:ind w:firstLine="643" w:firstLineChars="200"/>
        <w:rPr>
          <w:rFonts w:ascii="宋体" w:cs="Times New Roman"/>
          <w:sz w:val="32"/>
          <w:szCs w:val="32"/>
        </w:rPr>
      </w:pPr>
      <w:r>
        <w:rPr>
          <w:rFonts w:hint="eastAsia" w:ascii="宋体" w:hAnsi="宋体" w:cs="宋体"/>
          <w:b/>
          <w:bCs/>
          <w:sz w:val="32"/>
          <w:szCs w:val="32"/>
        </w:rPr>
        <w:t>加强纪律作风建设。</w:t>
      </w:r>
      <w:r>
        <w:rPr>
          <w:rFonts w:hint="eastAsia" w:ascii="宋体" w:hAnsi="宋体" w:cs="宋体"/>
          <w:sz w:val="32"/>
          <w:szCs w:val="32"/>
        </w:rPr>
        <w:t>全面落实党内法规执行责任制，将党内法规纳入党委学习和党员教育培训的重要内容。严格贯彻落实中央八项规定精神，加大警示教育力度，引导行业各级党组织和从业人员严明纪律、严守规矩。完善诚信自律体系，运用税务师行业诚信记录信息系统，营造公平竞争环境，引导从业人员加强自律、规范执业、廉洁执业、依法执业、诚信经营，进一步提升良好行业形象和社会公信力，促进纳税人缴费人满意度稳步提高。</w:t>
      </w:r>
    </w:p>
    <w:p>
      <w:pPr>
        <w:spacing w:line="620" w:lineRule="exact"/>
        <w:ind w:firstLine="643" w:firstLineChars="200"/>
        <w:rPr>
          <w:rFonts w:ascii="宋体" w:cs="Times New Roman"/>
          <w:sz w:val="32"/>
          <w:szCs w:val="32"/>
        </w:rPr>
      </w:pPr>
      <w:r>
        <w:rPr>
          <w:rFonts w:hint="eastAsia" w:ascii="宋体" w:hAnsi="宋体" w:cs="宋体"/>
          <w:b/>
          <w:bCs/>
          <w:sz w:val="32"/>
          <w:szCs w:val="32"/>
        </w:rPr>
        <w:t>加强制度建设。</w:t>
      </w:r>
      <w:r>
        <w:rPr>
          <w:rFonts w:hint="eastAsia" w:ascii="宋体" w:hAnsi="宋体" w:cs="宋体"/>
          <w:sz w:val="32"/>
          <w:szCs w:val="32"/>
        </w:rPr>
        <w:t>按照“条主动、块为主，两结合、互为补”党建体制要求，进一步优化党建工作规范，形成具有税务师特点的务实管用、行之有效的党建制度机制。推动党建工作入章程、党组织对重大事项进行政治把关、党建业务“一肩挑”和交叉任职等百分百落实，党建业务一体化建设取得成效。积极推动三方沟通机制制度化、常态化运行，构建上传下达互联机制，形成上下贯通、执行有力的组织体系。</w:t>
      </w:r>
    </w:p>
    <w:p>
      <w:pPr>
        <w:spacing w:line="620" w:lineRule="exact"/>
        <w:ind w:firstLine="643" w:firstLineChars="200"/>
        <w:rPr>
          <w:rFonts w:ascii="宋体" w:cs="Times New Roman"/>
          <w:sz w:val="32"/>
          <w:szCs w:val="32"/>
        </w:rPr>
      </w:pPr>
      <w:r>
        <w:rPr>
          <w:rFonts w:hint="eastAsia" w:ascii="宋体" w:hAnsi="宋体" w:cs="宋体"/>
          <w:b/>
          <w:bCs/>
          <w:sz w:val="32"/>
          <w:szCs w:val="32"/>
        </w:rPr>
        <w:t>加强统战工作。</w:t>
      </w:r>
      <w:r>
        <w:rPr>
          <w:rFonts w:hint="eastAsia" w:ascii="宋体" w:hAnsi="宋体" w:cs="宋体"/>
          <w:sz w:val="32"/>
          <w:szCs w:val="32"/>
        </w:rPr>
        <w:t>以《中国共产党统一战线工作条例》为基本遵循，将新的社会阶层人士统战工作纳入事务所党支部工作职责。深入开展“凝聚新力量</w:t>
      </w:r>
      <w:r>
        <w:rPr>
          <w:rFonts w:ascii="宋体" w:cs="宋体"/>
          <w:sz w:val="32"/>
          <w:szCs w:val="32"/>
        </w:rPr>
        <w:t>•</w:t>
      </w:r>
      <w:r>
        <w:rPr>
          <w:rFonts w:hint="eastAsia" w:ascii="宋体" w:hAnsi="宋体" w:cs="宋体"/>
          <w:sz w:val="32"/>
          <w:szCs w:val="32"/>
        </w:rPr>
        <w:t>筑梦新时代”主题教育系列活动，贯彻落实《新时代爱国主义教育实施纲要》。加强行业代表人士的培养和推荐，积极组织参政议政，建言献策，提升行业影响力。巩固和扩大新的社会阶层人士统战工作实践创新基地建设，实现规范化、常态化、特色化管理。适时进行同心服务团换届，组织开展涉税咨询志愿服务和公益活动，加强税务同心助学金和同心助学行等服务品牌建设，实现服务团员有收获、公益活动有影响、奉献社会有贡献。</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（二）全面提升行业法治化建设质量。</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大力推进税务师行业立法。</w:t>
      </w:r>
      <w:r>
        <w:rPr>
          <w:rFonts w:hint="eastAsia" w:cs="宋体"/>
          <w:color w:val="auto"/>
          <w:sz w:val="32"/>
          <w:szCs w:val="32"/>
        </w:rPr>
        <w:t>按照条件成熟、突出重点、先易后难、统筹兼顾的原则，积极会同有关部门研究论证并分步骤推动税务师行业立法。推动修订《中华人民共和国税收征收管理法》，推动出台《税务师管理条例》。大力支持行业立法课题研究，拓展渠道反映行业立法诉求，持续开展高层次立法调研活动。鼓励各地在立法权限内，因地制宜制定与税务师行业相关的地方性法规、规章及其他规范性文件。探索建立税务师行业立法工作交流平台，及时总结推广各地经验做法。</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健全税务师执业法律体系。</w:t>
      </w:r>
      <w:r>
        <w:rPr>
          <w:rFonts w:hint="eastAsia" w:cs="宋体"/>
          <w:color w:val="auto"/>
          <w:sz w:val="32"/>
          <w:szCs w:val="32"/>
        </w:rPr>
        <w:t>加强与税务机关和其他相关部门沟通，推动相关领域立法增加税务师有关条款，进一步明确税务师开展有关业务的激励保障措施。推动有关部门明确界定税务机关的行政纳税服务与涉税专业机构的市场化纳税服务的职责边界，积极争取政策赋予行业更多涉税服务职能和权限，更好发挥税务师在涉税专业服务中的主力军作用。推进税务机关通过政府购买涉税专业服务政策落地，力争将涉税专业服务事项列入《全国税务系统政府购买服务指导性目录》。</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大力开展税法知识普及教育。</w:t>
      </w:r>
      <w:r>
        <w:rPr>
          <w:rFonts w:hint="eastAsia" w:cs="宋体"/>
          <w:color w:val="auto"/>
          <w:sz w:val="32"/>
          <w:szCs w:val="32"/>
        </w:rPr>
        <w:t>认真贯彻落实中办、国办《关于进一步深化税收体制改革的意见》有关拓展税收共治格局、加强社会协同的要求，组织会员积极参与税法普及宣传，提升全社会税法遵从意识，营造良好纳税氛围。加大行业培训和教育力度，增强行业的法治观念，提高依法从业意识，防范行业法律风险。</w:t>
      </w:r>
    </w:p>
    <w:p>
      <w:pPr>
        <w:pStyle w:val="16"/>
        <w:spacing w:line="620" w:lineRule="exact"/>
        <w:ind w:firstLine="643" w:firstLineChars="200"/>
        <w:rPr>
          <w:rFonts w:ascii="楷体" w:hAnsi="楷体" w:eastAsia="楷体" w:cs="Times New Roman"/>
          <w:b/>
          <w:bCs/>
          <w:color w:val="auto"/>
          <w:sz w:val="32"/>
          <w:szCs w:val="32"/>
        </w:rPr>
      </w:pPr>
      <w:r>
        <w:rPr>
          <w:rFonts w:hint="eastAsia" w:ascii="楷体" w:hAnsi="楷体" w:eastAsia="楷体" w:cs="楷体"/>
          <w:b/>
          <w:bCs/>
          <w:color w:val="auto"/>
          <w:sz w:val="32"/>
          <w:szCs w:val="32"/>
        </w:rPr>
        <w:t>（三）全面提升行业市场化建设质量。</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积极拓展创新服务领域。</w:t>
      </w:r>
      <w:r>
        <w:rPr>
          <w:rFonts w:hint="eastAsia" w:cs="宋体"/>
          <w:color w:val="auto"/>
          <w:sz w:val="32"/>
          <w:szCs w:val="32"/>
        </w:rPr>
        <w:t>进一步巩固强化税务师行业在新时代社会主义市场经济体制中的作用，研究开发新业务模式。充分发挥涉税鉴证、纳税审核、申报代理等传统业务在各行业领域税收遵从方面的基础性作用，持续提升税务咨询、税务顾问、税收策划等现有业务在纳税人税收安排阶段的引领性作用，积极拓展数字化服务在智慧税务环境下的战略性作用。引导税务师事务所对标税务机关的“智慧税务”，充分运用大数据、云计算、人工智能、移动互联网等现代信息技术，将技术手段融入业务经验，重构业务模式，帮助纳税人建立智能化税务管理系统。关注国家重大发展战略，不断了解市场需求，继续发挥市场在资源配置中的决定性作用。鼓励税务师事务所参照推进企业合规第三方监督评估、破产管理人等涉税业务，积极参与临港新片区、海南自由贸易港、横琴粤澳深度合作区、前海深港现代服务业合作区等税收制度的落实，研究推动长江经济带等区域发展战略下的税收政策安排，创新服务各类新经济、新业态催生出的涉税需求。继续深化和有关政府部门的工作联系、与行业协会的战略合作，推动双方联合开展涉税培训、课题研究、讲座论坛等活动，为行业搭建高层次业务交流平台。</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持续优化行业营商环境。</w:t>
      </w:r>
      <w:r>
        <w:rPr>
          <w:rFonts w:hint="eastAsia" w:cs="宋体"/>
          <w:color w:val="auto"/>
          <w:sz w:val="32"/>
          <w:szCs w:val="32"/>
        </w:rPr>
        <w:t>研究建立面向税务师事务所的涉税专业服务市场需求信息搜集和推送服务机制，定期举办会员之间的业务互助交流合作活动。建立行业业务信息报送机制，组织税务师事务所及时、准确反映国家税收政策落实成效及执业过程中遇到的相关业务问题。继续推动地方税协三方沟通机制的应用，搭建税务机关与税务师事务所及税协之间和谐亲清的涉税专业服务生态系统。努力营造公平竞争的涉税服务市场环境，探索制定税务师事务所招投标自律公约，引导形成以质量为导向的招投标机制。引导税务师事务所加强内部治理，推动制定税务师行业职业风险基金管理办法，鼓励税务师事务所购买职业责任保险，推动税务师事务所提升风险防范和化解能力。根据国家政策要求，督促各地税协落实降低会费标准要求，切实减轻会员会费负担。依托会长信箱，健全会员合理诉求解决机制，解决好会员在市场竞争发展中遇到的实际问题。</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加强创新驱动发展研究。</w:t>
      </w:r>
      <w:r>
        <w:rPr>
          <w:rFonts w:hint="eastAsia" w:cs="宋体"/>
          <w:color w:val="auto"/>
          <w:sz w:val="32"/>
          <w:szCs w:val="32"/>
        </w:rPr>
        <w:t>借助部分产教融合成果，搭建行业与财经类高等院校、科研机构的合作平台，针对行业发展过程中出现的重大宏观、微观问题，开展战略性理论研究，为行业确定发展方向奠定理论基础。针对行业新业务模式、新服务领域，联合地方税协组织税务师事务所开展课题研究，形成切实有效的研究成果，探索多种成果转化、成果应用方式，以创新驱动行业不断发展，巩固并扩大税务师行业的社会影响力。</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合理布局行业品牌建设。</w:t>
      </w:r>
      <w:r>
        <w:rPr>
          <w:rFonts w:hint="eastAsia" w:cs="宋体"/>
          <w:color w:val="auto"/>
          <w:sz w:val="32"/>
          <w:szCs w:val="32"/>
        </w:rPr>
        <w:t>鼓励行业中新的社会阶层代表人士积极参政议政，为行业发展出谋划策，提升行业在经济发展中的整体认知度。引导行业积极履行社会责任，加强宣传力度，不断打造行业在社会发展中的优秀典型正面形象，增强会员的成就感和使命感。加强税务师事务所品牌建设，发挥品牌引领作用，制定税务师事务所品牌价值确认标准和培育计划，加大对行业优秀品牌挖掘、评审、宣传和保护力度。支持税务师事务所抓住市场机遇，走差异化发展之路。发挥百强所和等级所的指挥棒作用，引导大所做强做优，扶持中小所做精做专。</w:t>
      </w:r>
    </w:p>
    <w:p>
      <w:pPr>
        <w:pStyle w:val="16"/>
        <w:spacing w:line="620" w:lineRule="exact"/>
        <w:ind w:firstLine="643" w:firstLineChars="200"/>
        <w:jc w:val="both"/>
        <w:rPr>
          <w:rFonts w:ascii="楷体" w:hAnsi="楷体" w:eastAsia="楷体" w:cs="Times New Roman"/>
          <w:b/>
          <w:bCs/>
          <w:color w:val="auto"/>
          <w:sz w:val="32"/>
          <w:szCs w:val="32"/>
        </w:rPr>
      </w:pPr>
      <w:r>
        <w:rPr>
          <w:rFonts w:hint="eastAsia" w:ascii="楷体" w:hAnsi="楷体" w:eastAsia="楷体" w:cs="楷体"/>
          <w:b/>
          <w:bCs/>
          <w:color w:val="auto"/>
          <w:sz w:val="32"/>
          <w:szCs w:val="32"/>
        </w:rPr>
        <w:t>（四）全面提升行业规范化建设质量。</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加强行业诚信机制建设。</w:t>
      </w:r>
      <w:r>
        <w:rPr>
          <w:rFonts w:hint="eastAsia" w:cs="宋体"/>
          <w:color w:val="auto"/>
          <w:sz w:val="32"/>
          <w:szCs w:val="32"/>
        </w:rPr>
        <w:t>健全行业诚信制度体系，研究建立行业诚信记录与纳税信用积分在会员自律管理中应用的长效机制，倡导依法诚信经营理念，加大失信行为处罚力度，形成失信者处处受限威慑力。</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完善行业自律管理制度体系。</w:t>
      </w:r>
      <w:r>
        <w:rPr>
          <w:rFonts w:hint="eastAsia" w:cs="宋体"/>
          <w:color w:val="auto"/>
          <w:sz w:val="32"/>
          <w:szCs w:val="32"/>
        </w:rPr>
        <w:t>加强与行政监管部门协作，完善行业自律管理制度体系，构建以行业自律管理办法为基础，会员自律检查办法、违规行为惩戒办法、百强排名办法、等级事务所认定管理办法等制度为支撑的“</w:t>
      </w:r>
      <w:r>
        <w:rPr>
          <w:color w:val="auto"/>
          <w:sz w:val="32"/>
          <w:szCs w:val="32"/>
        </w:rPr>
        <w:t>1+N</w:t>
      </w:r>
      <w:r>
        <w:rPr>
          <w:rFonts w:hint="eastAsia" w:cs="宋体"/>
          <w:color w:val="auto"/>
          <w:sz w:val="32"/>
          <w:szCs w:val="32"/>
        </w:rPr>
        <w:t>”自律管理机制，对会员执业行为进行动态管理，全面提升行业自律管理水平。</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加强执业质量检查评价。</w:t>
      </w:r>
      <w:r>
        <w:rPr>
          <w:rFonts w:hint="eastAsia" w:cs="宋体"/>
          <w:color w:val="auto"/>
          <w:sz w:val="32"/>
          <w:szCs w:val="32"/>
        </w:rPr>
        <w:t>组建行业自律检查专家库，建立专家检查工作机制，定期开展执业质量检查评价，规范执业质量检查程序和内容，建立质量检查评价服务信息系统。试点建立业务报告封面统一模板，规范执业税务师签章管理，全面提升事务所业务报告的专业性与权威性。</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强化等级税务师事务所管理。</w:t>
      </w:r>
      <w:r>
        <w:rPr>
          <w:rFonts w:hint="eastAsia" w:cs="宋体"/>
          <w:color w:val="auto"/>
          <w:sz w:val="32"/>
          <w:szCs w:val="32"/>
        </w:rPr>
        <w:t>修订《等级税务师事务所认定管理办法》，构建合理科学指标体系，加强等级所动态管理，促进税务师事务所集团一体化发展，向社会公布相关动态信息。</w:t>
      </w:r>
    </w:p>
    <w:p>
      <w:pPr>
        <w:pStyle w:val="16"/>
        <w:spacing w:line="620" w:lineRule="exact"/>
        <w:ind w:firstLine="643" w:firstLineChars="200"/>
        <w:rPr>
          <w:rFonts w:ascii="楷体" w:hAnsi="楷体" w:eastAsia="楷体" w:cs="Times New Roman"/>
          <w:b/>
          <w:bCs/>
          <w:color w:val="auto"/>
          <w:sz w:val="32"/>
          <w:szCs w:val="32"/>
        </w:rPr>
      </w:pPr>
      <w:r>
        <w:rPr>
          <w:rFonts w:hint="eastAsia" w:cs="宋体"/>
          <w:b/>
          <w:bCs/>
          <w:color w:val="auto"/>
          <w:sz w:val="32"/>
          <w:szCs w:val="32"/>
        </w:rPr>
        <w:t>提升事务所内部治理能力。</w:t>
      </w:r>
      <w:r>
        <w:rPr>
          <w:rFonts w:hint="eastAsia" w:cs="宋体"/>
          <w:color w:val="auto"/>
          <w:sz w:val="32"/>
          <w:szCs w:val="32"/>
        </w:rPr>
        <w:t>制定税务师事务所内部治理指南，推动税务师事务所规范化管理，促进制定合理的服务收费定价机制，建立与工时、风险、质量相匹配的服务收费体系，探索服务收费分级分类核算可行性，遏制行业恶意压价竞争现象。</w:t>
      </w:r>
    </w:p>
    <w:p>
      <w:pPr>
        <w:pStyle w:val="16"/>
        <w:spacing w:line="620" w:lineRule="exact"/>
        <w:ind w:firstLine="643" w:firstLineChars="200"/>
        <w:jc w:val="both"/>
        <w:rPr>
          <w:rFonts w:ascii="楷体" w:hAnsi="楷体" w:eastAsia="楷体" w:cs="Times New Roman"/>
          <w:b/>
          <w:bCs/>
          <w:color w:val="auto"/>
          <w:sz w:val="32"/>
          <w:szCs w:val="32"/>
        </w:rPr>
      </w:pPr>
      <w:r>
        <w:rPr>
          <w:rFonts w:hint="eastAsia" w:ascii="楷体" w:hAnsi="楷体" w:eastAsia="楷体" w:cs="楷体"/>
          <w:b/>
          <w:bCs/>
          <w:color w:val="auto"/>
          <w:sz w:val="32"/>
          <w:szCs w:val="32"/>
        </w:rPr>
        <w:t>（五）全面提升行业专业化建设质量。</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大力选拔培养后备人才队伍。</w:t>
      </w:r>
      <w:r>
        <w:rPr>
          <w:rFonts w:hint="eastAsia" w:cs="宋体"/>
          <w:color w:val="auto"/>
          <w:sz w:val="32"/>
          <w:szCs w:val="32"/>
        </w:rPr>
        <w:t>加快修订税务师职业资格制度和考试的相关规章制度，进一步完善人才选拔、人才评价的技术手段和方式方法。研究制定行业产教融合有关制度机制，加强与财经类高校的战略合作，推选</w:t>
      </w:r>
      <w:r>
        <w:rPr>
          <w:color w:val="auto"/>
          <w:sz w:val="32"/>
          <w:szCs w:val="32"/>
        </w:rPr>
        <w:t>50</w:t>
      </w:r>
      <w:r>
        <w:rPr>
          <w:rFonts w:hint="eastAsia" w:cs="宋体"/>
          <w:color w:val="auto"/>
          <w:sz w:val="32"/>
          <w:szCs w:val="32"/>
        </w:rPr>
        <w:t>个行业产教融合示范点院校，以点带面，不断提高产教融合的质量和效率。</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健全人才培训制度和管理办法。</w:t>
      </w:r>
      <w:r>
        <w:rPr>
          <w:rFonts w:hint="eastAsia" w:cs="宋体"/>
          <w:color w:val="auto"/>
          <w:sz w:val="32"/>
          <w:szCs w:val="32"/>
        </w:rPr>
        <w:t>完善中税协、地方税协、税务师事务所三级培训机制，制定三级培训主体责任考核办法，进一步提高三级培训质量和效益；完善高端人才和领军人才选拔、培养和认定办法；完善培训基地选拔、认定和考核办法，根据行业培训的需要实施动态管理；完善继续教育管理办法。</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进一步提升培训教学质量。</w:t>
      </w:r>
      <w:r>
        <w:rPr>
          <w:rFonts w:hint="eastAsia" w:cs="宋体"/>
          <w:color w:val="auto"/>
          <w:sz w:val="32"/>
          <w:szCs w:val="32"/>
        </w:rPr>
        <w:t>遴选更多优秀师资进入师资库，通过师资库平台实现地方税协和中税协师资库共建共享、动态管理；根据行业的需要继续遴选和发展新的培训基地，对培训基地动态管理。加强教学计划的论证，组织专家规划课程和跟踪最新培训需求；跟踪教学过程，上线课程评价系统，通过学员评价、专家评估等措施加强教学管理；加强地方税协培训的考核；充分利用综合学时管理平台，加强对继续教育完成情况的跟踪、监督和考核。</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进一步加强分层培训力度</w:t>
      </w:r>
      <w:r>
        <w:rPr>
          <w:rFonts w:hint="eastAsia" w:cs="宋体"/>
          <w:color w:val="auto"/>
          <w:sz w:val="32"/>
          <w:szCs w:val="32"/>
        </w:rPr>
        <w:t>。中税协、地方税协、事务所，各自发挥优势错位发展提升教学效益。中税协主要提供行业高层次人才的培训、行业业务骨干培训以及面向整个行业的普惠性的培训，地方税协主要提供针对本地事务所重点业务的培训；事务所主要提供自身业务和员工素质提升的培训。探索建立分税种、分行业的专项高端人才培训和选拔机制。加大税务师事务所所长、中小事务所的业务数字化转型升级、新入职税务师等培训。增加行业营销人才、数字化转型人才、党建工作队伍、文秘、宣传等人才的培训。加大直播频次，及时解读最新政策；增加行业重点业务课程数量；上线覆盖所有业务规范指引的视频课程；加大案例性培训课程；上线相关行业知识的培训课程。建立未从业税务师会员的继续教育机制。</w:t>
      </w:r>
    </w:p>
    <w:p>
      <w:pPr>
        <w:pStyle w:val="16"/>
        <w:spacing w:line="620" w:lineRule="exact"/>
        <w:ind w:firstLine="643" w:firstLineChars="200"/>
        <w:rPr>
          <w:rFonts w:ascii="楷体" w:hAnsi="楷体" w:eastAsia="楷体" w:cs="Times New Roman"/>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kern w:val="2"/>
          <w:sz w:val="32"/>
          <w:szCs w:val="32"/>
        </w:rPr>
        <w:t>六）全面提升行业数字化建设质量。</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夯实行业信息化基础。</w:t>
      </w:r>
      <w:r>
        <w:rPr>
          <w:rFonts w:hint="eastAsia" w:cs="宋体"/>
          <w:color w:val="auto"/>
          <w:sz w:val="32"/>
          <w:szCs w:val="32"/>
        </w:rPr>
        <w:t>加强顶层设计，建立科学的行业信息化技术标准和管理规范，提升行业管理信息化基础设施水平，保障云平台系统安全稳定运行，优化云平台各功能模块，推进行业数据一体化，推动主体数据互联互通。</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提升数据治理水平。</w:t>
      </w:r>
      <w:r>
        <w:rPr>
          <w:rFonts w:hint="eastAsia" w:cs="宋体"/>
          <w:color w:val="auto"/>
          <w:sz w:val="32"/>
          <w:szCs w:val="32"/>
        </w:rPr>
        <w:t>打造开放共享的数据中台和智能高效的业务中台。进一步细化行业报表数据指标，建设行业信息化数据标准体系，强化行业数据分析与应用，为行业发展提供数据支持。</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完善安全防护体系。</w:t>
      </w:r>
      <w:r>
        <w:rPr>
          <w:rFonts w:hint="eastAsia" w:cs="宋体"/>
          <w:color w:val="auto"/>
          <w:sz w:val="32"/>
          <w:szCs w:val="32"/>
        </w:rPr>
        <w:t>建立健全网络安全防控体系、容灾备份体系和安全责任体系，完善网络安全管理、技术支撑和技术服务能力，做好应急响应和政策法规标准建设，提升安全技术防护能力，构建可信、可控、可查的网络环境，建立完备的网络与信息安全保障体系，保障行业数据安全。</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完善行业管理服务信息系统。</w:t>
      </w:r>
      <w:r>
        <w:rPr>
          <w:rFonts w:hint="eastAsia" w:cs="宋体"/>
          <w:color w:val="auto"/>
          <w:sz w:val="32"/>
          <w:szCs w:val="32"/>
        </w:rPr>
        <w:t>实现税务师和事务所全生命周期的数据流管理，优化业务流程，整合功能应用，为会员提供全业务在线受理与服务，实现管理网络化、服务信息化和程序规范化。研究建立专家答疑平台，丰富行业知识库系统。探索为会员提供业务底稿数字化储存与查询服务的机制。</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争取对接金税系统。</w:t>
      </w:r>
      <w:r>
        <w:rPr>
          <w:rFonts w:hint="eastAsia" w:cs="宋体"/>
          <w:color w:val="auto"/>
          <w:sz w:val="32"/>
          <w:szCs w:val="32"/>
        </w:rPr>
        <w:t>研究行业通用型业务软件产品的建设和应用方案，统一数据和系统标准，争取在业务报备系统进行对接，了解风控软件等涉税服务产品的开发思路和模型。</w:t>
      </w:r>
    </w:p>
    <w:p>
      <w:pPr>
        <w:pStyle w:val="16"/>
        <w:spacing w:line="620" w:lineRule="exact"/>
        <w:ind w:firstLine="643" w:firstLineChars="200"/>
        <w:jc w:val="both"/>
        <w:rPr>
          <w:rFonts w:cs="Times New Roman"/>
          <w:color w:val="auto"/>
          <w:sz w:val="32"/>
          <w:szCs w:val="32"/>
        </w:rPr>
      </w:pPr>
      <w:r>
        <w:rPr>
          <w:rFonts w:hint="eastAsia" w:cs="宋体"/>
          <w:b/>
          <w:bCs/>
          <w:color w:val="auto"/>
          <w:sz w:val="32"/>
          <w:szCs w:val="32"/>
        </w:rPr>
        <w:t>推动数字化转型。</w:t>
      </w:r>
      <w:r>
        <w:rPr>
          <w:rFonts w:hint="eastAsia" w:cs="宋体"/>
          <w:color w:val="auto"/>
          <w:sz w:val="32"/>
          <w:szCs w:val="32"/>
        </w:rPr>
        <w:t>鼓励产品共享，推动税务师事务所自主产权软件产品市场化，助力中小所数字化转型。鼓励大型事务所共享已研发并应用成熟的软件产品，协助事务所开展行业内推广和试点应用，促进产品在应用过程中持续优化完善，成为行业自有标杆型产品。建立行业数字化转型基金，专款专用，充分关注中小所共性信息化需求，从提供业务软件产品开始，购买或者建设适用于行业的全业务流程信息系统，借助数字化技术，提高中小所业务质量和工作效率。</w:t>
      </w:r>
    </w:p>
    <w:p>
      <w:pPr>
        <w:pStyle w:val="16"/>
        <w:spacing w:line="620" w:lineRule="exact"/>
        <w:ind w:firstLine="643" w:firstLineChars="200"/>
        <w:rPr>
          <w:rFonts w:ascii="楷体" w:hAnsi="楷体" w:eastAsia="楷体" w:cs="Times New Roman"/>
          <w:b/>
          <w:bCs/>
          <w:color w:val="auto"/>
          <w:kern w:val="2"/>
          <w:sz w:val="32"/>
          <w:szCs w:val="32"/>
        </w:rPr>
      </w:pPr>
      <w:r>
        <w:rPr>
          <w:rFonts w:hint="eastAsia" w:ascii="楷体" w:hAnsi="楷体" w:eastAsia="楷体" w:cs="楷体"/>
          <w:b/>
          <w:bCs/>
          <w:color w:val="auto"/>
          <w:kern w:val="2"/>
          <w:sz w:val="32"/>
          <w:szCs w:val="32"/>
        </w:rPr>
        <w:t>（七）全面提升行业国际化建设质量。</w:t>
      </w:r>
    </w:p>
    <w:p>
      <w:pPr>
        <w:spacing w:line="620" w:lineRule="exact"/>
        <w:ind w:firstLine="643" w:firstLineChars="200"/>
        <w:rPr>
          <w:rFonts w:ascii="宋体" w:cs="Times New Roman"/>
          <w:sz w:val="32"/>
          <w:szCs w:val="32"/>
        </w:rPr>
      </w:pPr>
      <w:r>
        <w:rPr>
          <w:rFonts w:hint="eastAsia" w:ascii="宋体" w:hAnsi="宋体" w:cs="宋体"/>
          <w:b/>
          <w:bCs/>
          <w:sz w:val="32"/>
          <w:szCs w:val="32"/>
        </w:rPr>
        <w:t>深化国际交流与合作。</w:t>
      </w:r>
      <w:r>
        <w:rPr>
          <w:rFonts w:hint="eastAsia" w:ascii="宋体" w:hAnsi="宋体" w:cs="宋体"/>
          <w:kern w:val="0"/>
          <w:sz w:val="32"/>
          <w:szCs w:val="32"/>
        </w:rPr>
        <w:t>进一步加强与国际和区域行业组织、主要国家和地区涉税专业服务组织在国际业务拓展等领域的交流与合作，提升行业的国际市场开发与合作能力</w:t>
      </w:r>
      <w:r>
        <w:rPr>
          <w:rFonts w:hint="eastAsia" w:ascii="宋体" w:hAnsi="宋体" w:cs="宋体"/>
          <w:sz w:val="32"/>
          <w:szCs w:val="32"/>
        </w:rPr>
        <w:t>。探索推进国际和地区间会员资格互认、准则互认等。推介税务师事务所和税务师加入国际涉税专业服务组织，促进国际涉税专业服务经验交流和成果共享。</w:t>
      </w:r>
    </w:p>
    <w:p>
      <w:pPr>
        <w:pStyle w:val="16"/>
        <w:spacing w:line="620" w:lineRule="exact"/>
        <w:ind w:firstLine="643" w:firstLineChars="200"/>
        <w:rPr>
          <w:rFonts w:cs="Times New Roman"/>
          <w:color w:val="auto"/>
          <w:sz w:val="32"/>
          <w:szCs w:val="32"/>
        </w:rPr>
      </w:pPr>
      <w:r>
        <w:rPr>
          <w:rFonts w:hint="eastAsia" w:ascii="楷体" w:hAnsi="楷体" w:cs="宋体"/>
          <w:b/>
          <w:bCs/>
          <w:color w:val="auto"/>
          <w:sz w:val="32"/>
          <w:szCs w:val="32"/>
        </w:rPr>
        <w:t>积极拓展国际市场。</w:t>
      </w:r>
      <w:r>
        <w:rPr>
          <w:rFonts w:hint="eastAsia" w:ascii="楷体" w:hAnsi="楷体" w:cs="宋体"/>
          <w:color w:val="auto"/>
          <w:sz w:val="32"/>
          <w:szCs w:val="32"/>
        </w:rPr>
        <w:t>跟踪分析国际涉税服务市场发展动态，研究总结税务师行业发展新态势、新特点、新问题。积极主动与有关国际涉税专业服务组织开展专业合作研究，并</w:t>
      </w:r>
      <w:r>
        <w:rPr>
          <w:rFonts w:hint="eastAsia" w:cs="宋体"/>
          <w:color w:val="auto"/>
          <w:sz w:val="32"/>
          <w:szCs w:val="32"/>
        </w:rPr>
        <w:t>推动出台更多支持税务师事务所发展国际业务的政策措施</w:t>
      </w:r>
      <w:r>
        <w:rPr>
          <w:rFonts w:hint="eastAsia" w:ascii="楷体" w:hAnsi="楷体" w:cs="宋体"/>
          <w:color w:val="auto"/>
          <w:sz w:val="32"/>
          <w:szCs w:val="32"/>
        </w:rPr>
        <w:t>。</w:t>
      </w:r>
      <w:r>
        <w:rPr>
          <w:rFonts w:hint="eastAsia" w:cs="宋体"/>
          <w:color w:val="auto"/>
          <w:sz w:val="32"/>
          <w:szCs w:val="32"/>
        </w:rPr>
        <w:t>推广税务师事务所国际化发展经验，加强对税务师事务所国际化业务的研究与技术援助。支持事务所自主创建国际网络，在境外设立分支机构或办事处，充分利用国际网络技术管理优势，提升事务所国际业务能力。</w:t>
      </w:r>
    </w:p>
    <w:p>
      <w:pPr>
        <w:spacing w:line="620" w:lineRule="exact"/>
        <w:ind w:firstLine="643" w:firstLineChars="200"/>
        <w:rPr>
          <w:rFonts w:ascii="宋体" w:cs="Times New Roman"/>
          <w:sz w:val="32"/>
          <w:szCs w:val="32"/>
        </w:rPr>
      </w:pPr>
      <w:r>
        <w:rPr>
          <w:rFonts w:hint="eastAsia" w:ascii="宋体" w:hAnsi="宋体" w:cs="宋体"/>
          <w:b/>
          <w:bCs/>
          <w:sz w:val="32"/>
          <w:szCs w:val="32"/>
        </w:rPr>
        <w:t>主动参与税务师行业国际治理。</w:t>
      </w:r>
      <w:r>
        <w:rPr>
          <w:rFonts w:hint="eastAsia" w:ascii="宋体" w:hAnsi="宋体" w:cs="宋体"/>
          <w:sz w:val="32"/>
          <w:szCs w:val="32"/>
        </w:rPr>
        <w:t>积极向</w:t>
      </w:r>
      <w:r>
        <w:rPr>
          <w:rFonts w:ascii="宋体" w:hAnsi="宋体" w:cs="宋体"/>
          <w:sz w:val="32"/>
          <w:szCs w:val="32"/>
        </w:rPr>
        <w:t>AOTCA</w:t>
      </w:r>
      <w:r>
        <w:rPr>
          <w:rFonts w:hint="eastAsia" w:ascii="宋体" w:hAnsi="宋体" w:cs="宋体"/>
          <w:sz w:val="32"/>
          <w:szCs w:val="32"/>
        </w:rPr>
        <w:t>等国际组织推荐优秀专业人士任职，深入参与国际涉税事务和重大事项决策，提升我国税务师行业国际话语权和影响力。承办高层次、高水平、专业性、有影响力的</w:t>
      </w:r>
      <w:r>
        <w:rPr>
          <w:rFonts w:ascii="宋体" w:hAnsi="宋体" w:cs="宋体"/>
          <w:sz w:val="32"/>
          <w:szCs w:val="32"/>
        </w:rPr>
        <w:t>AOTCA</w:t>
      </w:r>
      <w:r>
        <w:rPr>
          <w:rFonts w:hint="eastAsia" w:ascii="宋体" w:hAnsi="宋体" w:cs="宋体"/>
          <w:sz w:val="32"/>
          <w:szCs w:val="32"/>
        </w:rPr>
        <w:t>年会及其他国际会议。积极探索“一带一路”沿线国家涉税专业服务机构交流沟通机制，</w:t>
      </w:r>
      <w:r>
        <w:rPr>
          <w:rFonts w:hint="eastAsia" w:cs="宋体"/>
          <w:sz w:val="32"/>
          <w:szCs w:val="32"/>
        </w:rPr>
        <w:t>有效利用国际资源，借鉴国际经验推动行业发展。</w:t>
      </w:r>
    </w:p>
    <w:p>
      <w:pPr>
        <w:spacing w:line="620" w:lineRule="exact"/>
        <w:ind w:firstLine="643" w:firstLineChars="200"/>
        <w:rPr>
          <w:rFonts w:ascii="宋体" w:cs="Times New Roman"/>
          <w:sz w:val="32"/>
          <w:szCs w:val="32"/>
        </w:rPr>
      </w:pPr>
      <w:r>
        <w:rPr>
          <w:rFonts w:hint="eastAsia" w:ascii="宋体" w:hAnsi="宋体" w:cs="宋体"/>
          <w:b/>
          <w:bCs/>
          <w:sz w:val="32"/>
          <w:szCs w:val="32"/>
        </w:rPr>
        <w:t>加强行业国际化人才队伍建设。</w:t>
      </w:r>
      <w:r>
        <w:rPr>
          <w:rFonts w:hint="eastAsia" w:ascii="宋体" w:hAnsi="宋体" w:cs="宋体"/>
          <w:sz w:val="32"/>
          <w:szCs w:val="32"/>
        </w:rPr>
        <w:t>着力培养能够在事务所“走出去”进程中发挥统帅作用、领军作用的国际化领军人才。积极同境外相关行业组织加强教育培训方面的合作，借助境外同行业组织的教育培训体系，支持和鼓励会员取得国际认可的境外税务、会计类资格证书。逐步建立完善的人才培养国际合作体系。</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（八）全面提升行业宣传和文化建设质量。</w:t>
      </w:r>
    </w:p>
    <w:p>
      <w:pPr>
        <w:spacing w:line="620" w:lineRule="exact"/>
        <w:ind w:firstLine="643" w:firstLineChars="200"/>
        <w:rPr>
          <w:rFonts w:ascii="宋体" w:cs="Times New Roman"/>
          <w:sz w:val="32"/>
          <w:szCs w:val="32"/>
        </w:rPr>
      </w:pPr>
      <w:r>
        <w:rPr>
          <w:rFonts w:hint="eastAsia" w:ascii="宋体" w:hAnsi="宋体" w:cs="宋体"/>
          <w:b/>
          <w:bCs/>
          <w:sz w:val="32"/>
          <w:szCs w:val="32"/>
        </w:rPr>
        <w:t>加大行业宣传力度。</w:t>
      </w:r>
      <w:r>
        <w:rPr>
          <w:rFonts w:hint="eastAsia" w:ascii="宋体" w:hAnsi="宋体" w:cs="宋体"/>
          <w:sz w:val="32"/>
          <w:szCs w:val="32"/>
        </w:rPr>
        <w:t>广泛深入宣传税务师行业维护国家经济安全、税收安全重要作用，树立税务师行业涉税专业服务主力军专业形象；大力宣传基层税务师服务广大纳税人、缴费人的先进事迹，讲好税务师故事。持续强化协会官网、新媒体平台、《注册税务师》杂志、税务师行业党建</w:t>
      </w:r>
      <w:r>
        <w:rPr>
          <w:rFonts w:ascii="宋体" w:hAnsi="宋体" w:cs="宋体"/>
          <w:sz w:val="32"/>
          <w:szCs w:val="32"/>
        </w:rPr>
        <w:t>APP</w:t>
      </w:r>
      <w:r>
        <w:rPr>
          <w:rFonts w:hint="eastAsia" w:ascii="宋体" w:hAnsi="宋体" w:cs="宋体"/>
          <w:sz w:val="32"/>
          <w:szCs w:val="32"/>
        </w:rPr>
        <w:t>等意识形态阵地建设和管理，精心做好重大主题策划宣传。加快构建税务师行业新媒体宣传矩阵，逐步建立以内容建设为根本、先进技术为支撑、创新管理为保障的税务师行业全媒体传播体系。</w:t>
      </w:r>
    </w:p>
    <w:p>
      <w:pPr>
        <w:spacing w:line="620" w:lineRule="exact"/>
        <w:ind w:firstLine="643" w:firstLineChars="200"/>
        <w:rPr>
          <w:rFonts w:ascii="宋体" w:cs="Times New Roman"/>
          <w:sz w:val="32"/>
          <w:szCs w:val="32"/>
        </w:rPr>
      </w:pPr>
      <w:r>
        <w:rPr>
          <w:rFonts w:hint="eastAsia" w:ascii="宋体" w:hAnsi="宋体" w:cs="宋体"/>
          <w:b/>
          <w:bCs/>
          <w:sz w:val="32"/>
          <w:szCs w:val="32"/>
        </w:rPr>
        <w:t>创新行业宣传形式。</w:t>
      </w:r>
      <w:r>
        <w:rPr>
          <w:rFonts w:hint="eastAsia" w:ascii="宋体" w:hAnsi="宋体" w:cs="宋体"/>
          <w:sz w:val="32"/>
          <w:szCs w:val="32"/>
        </w:rPr>
        <w:t>深化与税务机关联合开展税法普及活动，加强和中央及地方主流媒体的合作，围绕中心工作聚焦重点、热点、难点问题，举办高质量宣传活动，逐步形成以税法知识竞赛、案例大赛、公益大讲堂、税务师圆桌会为主要内容系列活动品牌。策划出版税务师行业系列丛书，进一步扩大行业社会影响力。持续开展税法宣传进校园活动，从财经类院校扩大到开设经济学、法学、管理学学科门类的普通高等学校，实现行业宣传效果的最大化和最优化。</w:t>
      </w:r>
    </w:p>
    <w:p>
      <w:pPr>
        <w:spacing w:line="620" w:lineRule="exact"/>
        <w:ind w:firstLine="643" w:firstLineChars="200"/>
        <w:rPr>
          <w:rFonts w:cs="Times New Roman"/>
          <w:sz w:val="32"/>
          <w:szCs w:val="32"/>
        </w:rPr>
      </w:pPr>
      <w:r>
        <w:rPr>
          <w:rFonts w:hint="eastAsia" w:cs="宋体"/>
          <w:b/>
          <w:bCs/>
          <w:sz w:val="32"/>
          <w:szCs w:val="32"/>
        </w:rPr>
        <w:t>加强行业文化建设。</w:t>
      </w:r>
      <w:r>
        <w:rPr>
          <w:rFonts w:hint="eastAsia" w:cs="宋体"/>
          <w:sz w:val="32"/>
          <w:szCs w:val="32"/>
        </w:rPr>
        <w:t>准确把握新时代税务师行业文化的核心理念和重要内涵</w:t>
      </w:r>
      <w:r>
        <w:rPr>
          <w:rFonts w:cs="Times New Roman"/>
          <w:sz w:val="32"/>
          <w:szCs w:val="32"/>
        </w:rPr>
        <w:t> </w:t>
      </w:r>
      <w:r>
        <w:rPr>
          <w:rFonts w:hint="eastAsia" w:cs="宋体"/>
          <w:sz w:val="32"/>
          <w:szCs w:val="32"/>
        </w:rPr>
        <w:t>，逐步打造以“合规、诚信、专业、勤勉”为核心的行业文化。以税务师事务所企业文化建设为基础，充分发挥党组织在企业文化建设中的重要作用。将文化建设的基本要求制度化，嵌入到税务师事务所业务流程、内部控制、合规管理之中，并抓好制度执行。要切实转变税务师事务所简单以业绩为导向的经营理念，构建激励与约束相容、长期与短期兼顾的制度机制。要树立科学的选人用人标准，坚持德才兼备、以德为先。注重精神引领和文化引导，突出加大职业道德教育在员工培训、职务晋升中的权重，筑牢珍惜职业声誉、恪守职业道德的思想防线。</w:t>
      </w:r>
      <w:r>
        <w:rPr>
          <w:rFonts w:cs="Times New Roman"/>
          <w:sz w:val="32"/>
          <w:szCs w:val="32"/>
        </w:rPr>
        <w:t> </w:t>
      </w:r>
      <w:r>
        <w:rPr>
          <w:rFonts w:hint="eastAsia" w:cs="宋体"/>
          <w:sz w:val="32"/>
          <w:szCs w:val="32"/>
        </w:rPr>
        <w:t>加大先进典型的评选、宣传，形成颇具含金量的行业文化荣誉称号，让获得荣誉称号的机构和人员在政策上受优待、精神上受尊重。提炼可复制、可推广的文化建设模式，让广大会员在对标中找差距、补短板、明方向。</w:t>
      </w:r>
    </w:p>
    <w:p>
      <w:pPr>
        <w:spacing w:line="620" w:lineRule="exact"/>
        <w:ind w:firstLine="643" w:firstLineChars="200"/>
        <w:rPr>
          <w:rFonts w:ascii="宋体" w:cs="Times New Roman"/>
          <w:sz w:val="32"/>
          <w:szCs w:val="32"/>
        </w:rPr>
      </w:pPr>
      <w:r>
        <w:rPr>
          <w:rFonts w:hint="eastAsia" w:ascii="宋体" w:hAnsi="宋体" w:cs="宋体"/>
          <w:b/>
          <w:bCs/>
          <w:sz w:val="32"/>
          <w:szCs w:val="32"/>
        </w:rPr>
        <w:t>做好行业舆情管控。</w:t>
      </w:r>
      <w:r>
        <w:rPr>
          <w:rFonts w:hint="eastAsia" w:ascii="宋体" w:hAnsi="宋体" w:cs="宋体"/>
          <w:sz w:val="32"/>
          <w:szCs w:val="32"/>
        </w:rPr>
        <w:t>建立行业舆情日常监测、会商研判以及行政机关和行业协会、中税协和地方税协的分级分类响应机制，制定行业舆情管理制度。做大做强行业网络主流舆论阵地，加强对行业自媒体的引导，建立健全相关人才队伍的培养和激励机制，探索建立网络评论员制度。加强对税务师行业自律管理制度和执业规范的宣传，积极引导社会舆论和市场预期，营造有利于行业高质量发展的外部舆论环境。落实中税协新闻发言人制度，每季度召开新闻发布会，向社会公开行业信息。加大典型案例曝光力度，对全社会、全行业形成警示。</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（九）全面提升协会内部治理建设质量。</w:t>
      </w:r>
    </w:p>
    <w:p>
      <w:pPr>
        <w:spacing w:line="620" w:lineRule="exact"/>
        <w:ind w:firstLine="643" w:firstLineChars="200"/>
        <w:rPr>
          <w:rFonts w:cs="Times New Roman"/>
          <w:sz w:val="32"/>
          <w:szCs w:val="32"/>
        </w:rPr>
      </w:pPr>
      <w:r>
        <w:rPr>
          <w:rFonts w:hint="eastAsia" w:cs="宋体"/>
          <w:b/>
          <w:bCs/>
          <w:sz w:val="32"/>
          <w:szCs w:val="32"/>
        </w:rPr>
        <w:t>完善各级税务师协会会员代表大会和理事会的决策机制。</w:t>
      </w:r>
      <w:r>
        <w:rPr>
          <w:rFonts w:hint="eastAsia" w:cs="宋体"/>
          <w:sz w:val="32"/>
          <w:szCs w:val="32"/>
        </w:rPr>
        <w:t>制定会员代表大会代表和理事、常务理事候选人推荐制度，把好代表、理事“入口关”，合理确定理事会人员规模，优化人员组成结构。建立代表、理事履职办法，压实代表、理事参与协会治理的责任。健全议事规则，创新议事形式，完善审议程序，制定投票表决、选举办法。</w:t>
      </w:r>
    </w:p>
    <w:p>
      <w:pPr>
        <w:spacing w:line="620" w:lineRule="exact"/>
        <w:ind w:firstLine="643" w:firstLineChars="200"/>
        <w:rPr>
          <w:rFonts w:cs="Times New Roman"/>
          <w:sz w:val="32"/>
          <w:szCs w:val="32"/>
        </w:rPr>
      </w:pPr>
      <w:r>
        <w:rPr>
          <w:rFonts w:hint="eastAsia" w:cs="宋体"/>
          <w:b/>
          <w:bCs/>
          <w:sz w:val="32"/>
          <w:szCs w:val="32"/>
        </w:rPr>
        <w:t>鼓励有条件的税务师协会建立监事会。</w:t>
      </w:r>
      <w:r>
        <w:rPr>
          <w:rFonts w:hint="eastAsia" w:cs="宋体"/>
          <w:sz w:val="32"/>
          <w:szCs w:val="32"/>
        </w:rPr>
        <w:t>在民政部门指导下，制定监事会制度和人员推荐方案，报主管税务机关批准，经会员代表大会同意，修订协会章程增加有关监事会的规定，表决通过监事人选。立足“只监督、不决策”的职责定位，突出对重大决策程序、重要制度执行、财务管理和理事会、委员会、秘书处及其主要成员履职尽责等情况的监督，建立发现问题、及时报告、纠正偏差的工作机制。</w:t>
      </w:r>
    </w:p>
    <w:p>
      <w:pPr>
        <w:spacing w:line="620" w:lineRule="exact"/>
        <w:ind w:firstLine="643" w:firstLineChars="200"/>
        <w:rPr>
          <w:rFonts w:cs="Times New Roman"/>
          <w:sz w:val="32"/>
          <w:szCs w:val="32"/>
        </w:rPr>
      </w:pPr>
      <w:r>
        <w:rPr>
          <w:rFonts w:hint="eastAsia" w:cs="宋体"/>
          <w:b/>
          <w:bCs/>
          <w:sz w:val="32"/>
          <w:szCs w:val="32"/>
        </w:rPr>
        <w:t>加强专门委员会建设。</w:t>
      </w:r>
      <w:r>
        <w:rPr>
          <w:rFonts w:hint="eastAsia" w:cs="宋体"/>
          <w:sz w:val="32"/>
          <w:szCs w:val="32"/>
        </w:rPr>
        <w:t>专门委员会是从事协会专项业务活动的分支机构，对理事会负责。紧紧围绕加强理论研究，推动税务师行业高质量发展，优化专门委员会设置，完善专门委员会工作规则和各专门委员会工作细则。建立会长办公会对专门委员会日常工作的领导和统筹协调。建立健全委员遴选制度，统筹利用好行业内外专家资源。秘书处要大力支持、密切配合专门委员会工作，鼓励和支持专门委员会开展调查研究和对外交流合作，对有关工作予以必要经费保障。</w:t>
      </w:r>
    </w:p>
    <w:p>
      <w:pPr>
        <w:spacing w:line="620" w:lineRule="exact"/>
        <w:ind w:firstLine="643" w:firstLineChars="200"/>
        <w:rPr>
          <w:rFonts w:cs="Times New Roman"/>
          <w:sz w:val="32"/>
          <w:szCs w:val="32"/>
        </w:rPr>
      </w:pPr>
      <w:r>
        <w:rPr>
          <w:rFonts w:hint="eastAsia" w:cs="宋体"/>
          <w:b/>
          <w:bCs/>
          <w:sz w:val="32"/>
          <w:szCs w:val="32"/>
        </w:rPr>
        <w:t>完善会长专题会、会长办公会机制。</w:t>
      </w:r>
      <w:r>
        <w:rPr>
          <w:rFonts w:hint="eastAsia" w:cs="宋体"/>
          <w:sz w:val="32"/>
          <w:szCs w:val="32"/>
        </w:rPr>
        <w:t>会长专题会和会长办公会是研究落实行业党委、会员代表大会和理事会决议和决定的议事机构。要建立会长专题会和会长办公会议事规则。加大会议组织力度，统筹安排会议计划议题，及时研究行业发展中具有全局性、前瞻性的重大举措和秘书处重要工作事项。健全督办工作机制，确保会议决策执行到位。逐步建立和完善税务师协会和税务机关、中国注册税务师协会和省级税务师协会以及升级协会之间的信息沟通机制，及时解决行业发展中存在的问题并总结、交流工作经验。中税协要加大对省级税务师协会特别是中西部地区税务师协会的指导支持力度，联合开展有关活动更好服务会员，推动行业均衡、健康、可持续发展。</w:t>
      </w:r>
    </w:p>
    <w:p>
      <w:pPr>
        <w:pStyle w:val="16"/>
        <w:spacing w:line="620" w:lineRule="exact"/>
        <w:ind w:firstLine="643" w:firstLineChars="200"/>
        <w:rPr>
          <w:rFonts w:cs="Times New Roman"/>
          <w:color w:val="auto"/>
          <w:sz w:val="32"/>
          <w:szCs w:val="32"/>
        </w:rPr>
      </w:pPr>
      <w:r>
        <w:rPr>
          <w:rFonts w:hint="eastAsia" w:cs="宋体"/>
          <w:b/>
          <w:bCs/>
          <w:color w:val="auto"/>
          <w:sz w:val="32"/>
          <w:szCs w:val="32"/>
        </w:rPr>
        <w:t>加强秘书处管理服务能力建设。</w:t>
      </w:r>
      <w:r>
        <w:rPr>
          <w:rFonts w:hint="eastAsia" w:cs="宋体"/>
          <w:color w:val="auto"/>
          <w:sz w:val="32"/>
          <w:szCs w:val="32"/>
        </w:rPr>
        <w:t>建立健全秘书处财务、人事、采购等各项内部管理制度和相应的内控机制，严格做好制度落实的动态管理，主动接受民政和税务部门的监督和指导。加强社会组织、涉税专业服务相关法制教育，增强员工法治观念。优化部门设置，明确部门和岗位职责。改革秘书处员工绩效考核办法，改善员工薪酬待遇，争取属地政府的支持，尽力解决员工后顾之忧。建立在协会退休人员的关怀机制。优化选人用人机制，建立定期轮岗制度，试点协会和税务师事务所员工双向挂职交流机制，进一步加强员工培训和团队建设。严格执行中央八项规定及其实施细则。坚持密切联系会员，扎实开展调查研究，畅通会员问题反馈渠道和解决机制。坚持以会员为中心，建立面向会员的收费、服务清单公开制度，探索会费标准和服务项目挂钩的科学机制，大力推行“互联网</w:t>
      </w:r>
      <w:r>
        <w:rPr>
          <w:color w:val="auto"/>
          <w:sz w:val="32"/>
          <w:szCs w:val="32"/>
        </w:rPr>
        <w:t>+</w:t>
      </w:r>
      <w:r>
        <w:rPr>
          <w:rFonts w:hint="eastAsia" w:cs="宋体"/>
          <w:color w:val="auto"/>
          <w:sz w:val="32"/>
          <w:szCs w:val="32"/>
        </w:rPr>
        <w:t>会员服务”，全面实现办公自动化、无纸化。</w:t>
      </w:r>
    </w:p>
    <w:p>
      <w:pPr>
        <w:pStyle w:val="16"/>
        <w:spacing w:line="620" w:lineRule="exact"/>
        <w:ind w:firstLine="640" w:firstLineChars="200"/>
        <w:rPr>
          <w:rFonts w:ascii="黑体" w:hAnsi="黑体" w:eastAsia="黑体" w:cs="Times New Roman"/>
          <w:color w:val="auto"/>
          <w:sz w:val="32"/>
          <w:szCs w:val="32"/>
        </w:rPr>
      </w:pPr>
      <w:r>
        <w:rPr>
          <w:rFonts w:hint="eastAsia" w:ascii="黑体" w:hAnsi="黑体" w:eastAsia="黑体" w:cs="黑体"/>
          <w:color w:val="auto"/>
          <w:sz w:val="32"/>
          <w:szCs w:val="32"/>
        </w:rPr>
        <w:t>四、保障措施</w:t>
      </w:r>
    </w:p>
    <w:p>
      <w:p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（一）加强组织领导。</w:t>
      </w:r>
    </w:p>
    <w:p>
      <w:pPr>
        <w:spacing w:line="620" w:lineRule="exact"/>
        <w:ind w:firstLine="640" w:firstLineChars="200"/>
        <w:rPr>
          <w:rFonts w:cs="Times New Roman"/>
          <w:sz w:val="32"/>
          <w:szCs w:val="32"/>
        </w:rPr>
      </w:pPr>
      <w:r>
        <w:rPr>
          <w:rFonts w:hint="eastAsia" w:cs="宋体"/>
          <w:sz w:val="32"/>
          <w:szCs w:val="32"/>
        </w:rPr>
        <w:t>各地税协要结合实际情况制定具体实施方案，要积极协调政府有关部门对本规划提出的目标任务给予必要支持，要明确职责分工，广泛调动会员积极性，合力推动本规划的落实。中税协要加强对本规划实施的组织协调，对重点工作加大经费投入。</w:t>
      </w:r>
    </w:p>
    <w:p>
      <w:pPr>
        <w:numPr>
          <w:ilvl w:val="0"/>
          <w:numId w:val="3"/>
        </w:num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加强宣传解读。</w:t>
      </w:r>
    </w:p>
    <w:p>
      <w:pPr>
        <w:spacing w:line="620" w:lineRule="exact"/>
        <w:ind w:firstLine="640" w:firstLineChars="200"/>
        <w:rPr>
          <w:rFonts w:cs="Times New Roman"/>
          <w:sz w:val="32"/>
          <w:szCs w:val="32"/>
        </w:rPr>
      </w:pPr>
      <w:r>
        <w:rPr>
          <w:rFonts w:hint="eastAsia" w:cs="宋体"/>
          <w:sz w:val="32"/>
          <w:szCs w:val="32"/>
        </w:rPr>
        <w:t>各地税协要积极配合中税协宣传本规划，对重点内容要开展系列深入解读，进一步明确工作重点和方向，推动全行业统一思想、达成共识，形成有利于本规划实施的良好氛围。</w:t>
      </w:r>
    </w:p>
    <w:p>
      <w:pPr>
        <w:numPr>
          <w:ilvl w:val="0"/>
          <w:numId w:val="3"/>
        </w:numPr>
        <w:spacing w:line="62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抓好规划落实。</w:t>
      </w:r>
    </w:p>
    <w:p>
      <w:pPr>
        <w:spacing w:line="620" w:lineRule="exact"/>
        <w:ind w:firstLine="640" w:firstLineChars="200"/>
        <w:rPr>
          <w:rFonts w:cs="Times New Roman"/>
          <w:sz w:val="32"/>
          <w:szCs w:val="32"/>
        </w:rPr>
      </w:pPr>
      <w:r>
        <w:rPr>
          <w:rFonts w:hint="eastAsia" w:cs="宋体"/>
          <w:sz w:val="32"/>
          <w:szCs w:val="32"/>
        </w:rPr>
        <w:t>建立日常交流、定期督促、适时评估的工作机制，把各地税协落实本规划的情况作为重要考核激励指标，加大规划执行力度，使规划真正落到实处。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cs="Times New Roman"/>
      </w:rPr>
    </w:pP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222FE"/>
    <w:multiLevelType w:val="singleLevel"/>
    <w:tmpl w:val="BFA222FE"/>
    <w:lvl w:ilvl="0" w:tentative="0">
      <w:start w:val="2"/>
      <w:numFmt w:val="chineseCounting"/>
      <w:suff w:val="nothing"/>
      <w:lvlText w:val="（%1）"/>
      <w:lvlJc w:val="left"/>
      <w:rPr>
        <w:rFonts w:hint="eastAsia"/>
      </w:rPr>
    </w:lvl>
  </w:abstractNum>
  <w:abstractNum w:abstractNumId="1">
    <w:nsid w:val="E5B97E40"/>
    <w:multiLevelType w:val="singleLevel"/>
    <w:tmpl w:val="E5B97E40"/>
    <w:lvl w:ilvl="0" w:tentative="0">
      <w:start w:val="1"/>
      <w:numFmt w:val="chineseCounting"/>
      <w:suff w:val="nothing"/>
      <w:lvlText w:val="（%1）"/>
      <w:lvlJc w:val="left"/>
      <w:rPr>
        <w:rFonts w:hint="eastAsia"/>
      </w:rPr>
    </w:lvl>
  </w:abstractNum>
  <w:abstractNum w:abstractNumId="2">
    <w:nsid w:val="2E58868E"/>
    <w:multiLevelType w:val="singleLevel"/>
    <w:tmpl w:val="2E58868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36"/>
    <w:rsid w:val="00012F40"/>
    <w:rsid w:val="000224BF"/>
    <w:rsid w:val="00022AB7"/>
    <w:rsid w:val="0003144F"/>
    <w:rsid w:val="00057CC4"/>
    <w:rsid w:val="00063FF1"/>
    <w:rsid w:val="000715FE"/>
    <w:rsid w:val="00086EBE"/>
    <w:rsid w:val="000946D5"/>
    <w:rsid w:val="00094E4F"/>
    <w:rsid w:val="000B42CB"/>
    <w:rsid w:val="001071AA"/>
    <w:rsid w:val="00110503"/>
    <w:rsid w:val="00114E1A"/>
    <w:rsid w:val="00122558"/>
    <w:rsid w:val="001533A9"/>
    <w:rsid w:val="00155173"/>
    <w:rsid w:val="0017192C"/>
    <w:rsid w:val="001C0824"/>
    <w:rsid w:val="00230C27"/>
    <w:rsid w:val="00274A63"/>
    <w:rsid w:val="002B220E"/>
    <w:rsid w:val="002D1BDD"/>
    <w:rsid w:val="002F30AC"/>
    <w:rsid w:val="002F585F"/>
    <w:rsid w:val="002F6ED4"/>
    <w:rsid w:val="0032548B"/>
    <w:rsid w:val="00336067"/>
    <w:rsid w:val="003432C2"/>
    <w:rsid w:val="00353500"/>
    <w:rsid w:val="003E5A90"/>
    <w:rsid w:val="004169CE"/>
    <w:rsid w:val="0043730D"/>
    <w:rsid w:val="004A2A83"/>
    <w:rsid w:val="00525FA3"/>
    <w:rsid w:val="00532206"/>
    <w:rsid w:val="00536EC7"/>
    <w:rsid w:val="00542D50"/>
    <w:rsid w:val="0055409A"/>
    <w:rsid w:val="005F217C"/>
    <w:rsid w:val="00642646"/>
    <w:rsid w:val="00697A39"/>
    <w:rsid w:val="006D00B9"/>
    <w:rsid w:val="006D29BF"/>
    <w:rsid w:val="006F4839"/>
    <w:rsid w:val="00725F9D"/>
    <w:rsid w:val="00732115"/>
    <w:rsid w:val="007619D8"/>
    <w:rsid w:val="00766FE9"/>
    <w:rsid w:val="00784546"/>
    <w:rsid w:val="007A18A0"/>
    <w:rsid w:val="007A377A"/>
    <w:rsid w:val="007D5087"/>
    <w:rsid w:val="007E3598"/>
    <w:rsid w:val="00830205"/>
    <w:rsid w:val="00874945"/>
    <w:rsid w:val="008C7051"/>
    <w:rsid w:val="008D7E7E"/>
    <w:rsid w:val="008F0E26"/>
    <w:rsid w:val="00963F61"/>
    <w:rsid w:val="0097186A"/>
    <w:rsid w:val="00976A04"/>
    <w:rsid w:val="009B2569"/>
    <w:rsid w:val="009B3EEB"/>
    <w:rsid w:val="009B6667"/>
    <w:rsid w:val="009C4357"/>
    <w:rsid w:val="00A86E6E"/>
    <w:rsid w:val="00AA0373"/>
    <w:rsid w:val="00AC3436"/>
    <w:rsid w:val="00AC4CEB"/>
    <w:rsid w:val="00AD3CB1"/>
    <w:rsid w:val="00B000F6"/>
    <w:rsid w:val="00B03B8A"/>
    <w:rsid w:val="00B12034"/>
    <w:rsid w:val="00B3569C"/>
    <w:rsid w:val="00B540D0"/>
    <w:rsid w:val="00B5602A"/>
    <w:rsid w:val="00B73216"/>
    <w:rsid w:val="00B9617B"/>
    <w:rsid w:val="00BA7164"/>
    <w:rsid w:val="00BB7824"/>
    <w:rsid w:val="00BD41F2"/>
    <w:rsid w:val="00C0124F"/>
    <w:rsid w:val="00C11363"/>
    <w:rsid w:val="00C27F20"/>
    <w:rsid w:val="00C30DA6"/>
    <w:rsid w:val="00C55F6C"/>
    <w:rsid w:val="00C820A1"/>
    <w:rsid w:val="00C85E4F"/>
    <w:rsid w:val="00CB4EA6"/>
    <w:rsid w:val="00CB5300"/>
    <w:rsid w:val="00D354EC"/>
    <w:rsid w:val="00D9684D"/>
    <w:rsid w:val="00DB1CE3"/>
    <w:rsid w:val="00DB5A5C"/>
    <w:rsid w:val="00DC37C4"/>
    <w:rsid w:val="00E3095A"/>
    <w:rsid w:val="00E5125E"/>
    <w:rsid w:val="00E64375"/>
    <w:rsid w:val="00EF173C"/>
    <w:rsid w:val="00EF78B1"/>
    <w:rsid w:val="00F41F4B"/>
    <w:rsid w:val="00F560C8"/>
    <w:rsid w:val="00F709E0"/>
    <w:rsid w:val="00F759FB"/>
    <w:rsid w:val="00F926FB"/>
    <w:rsid w:val="00FB2946"/>
    <w:rsid w:val="00FE2F33"/>
    <w:rsid w:val="00FE4698"/>
    <w:rsid w:val="3CE22EB8"/>
    <w:rsid w:val="3D881484"/>
    <w:rsid w:val="5040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99"/>
    <w:rPr>
      <w:sz w:val="28"/>
      <w:szCs w:val="28"/>
    </w:rPr>
  </w:style>
  <w:style w:type="paragraph" w:styleId="3">
    <w:name w:val="Balloon Text"/>
    <w:basedOn w:val="1"/>
    <w:link w:val="15"/>
    <w:qFormat/>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uiPriority w:val="0"/>
  </w:style>
  <w:style w:type="character" w:styleId="11">
    <w:name w:val="Hyperlink"/>
    <w:basedOn w:val="9"/>
    <w:uiPriority w:val="99"/>
    <w:rPr>
      <w:color w:val="0000FF"/>
      <w:u w:val="single"/>
    </w:rPr>
  </w:style>
  <w:style w:type="paragraph" w:customStyle="1" w:styleId="12">
    <w:name w:val="Char1"/>
    <w:basedOn w:val="1"/>
    <w:uiPriority w:val="0"/>
    <w:rPr>
      <w:rFonts w:ascii="Times New Roman" w:hAnsi="Times New Roman" w:cs="Times New Roman"/>
      <w:szCs w:val="24"/>
    </w:rPr>
  </w:style>
  <w:style w:type="character" w:customStyle="1" w:styleId="13">
    <w:name w:val="正文文本 Char"/>
    <w:basedOn w:val="9"/>
    <w:link w:val="2"/>
    <w:qFormat/>
    <w:uiPriority w:val="99"/>
    <w:rPr>
      <w:rFonts w:ascii="Calibri" w:hAnsi="Calibri" w:cs="Calibri"/>
      <w:kern w:val="2"/>
      <w:sz w:val="28"/>
      <w:szCs w:val="28"/>
    </w:rPr>
  </w:style>
  <w:style w:type="character" w:customStyle="1" w:styleId="14">
    <w:name w:val="页脚 Char"/>
    <w:basedOn w:val="9"/>
    <w:link w:val="4"/>
    <w:qFormat/>
    <w:locked/>
    <w:uiPriority w:val="99"/>
    <w:rPr>
      <w:rFonts w:ascii="Calibri" w:hAnsi="Calibri" w:cs="Calibri"/>
      <w:kern w:val="2"/>
      <w:sz w:val="18"/>
      <w:szCs w:val="18"/>
    </w:rPr>
  </w:style>
  <w:style w:type="character" w:customStyle="1" w:styleId="15">
    <w:name w:val="批注框文本 Char"/>
    <w:basedOn w:val="9"/>
    <w:link w:val="3"/>
    <w:uiPriority w:val="0"/>
    <w:rPr>
      <w:rFonts w:ascii="Calibri" w:hAnsi="Calibri" w:cs="Calibri"/>
      <w:kern w:val="2"/>
      <w:sz w:val="18"/>
      <w:szCs w:val="18"/>
    </w:rPr>
  </w:style>
  <w:style w:type="paragraph" w:customStyle="1" w:styleId="16">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1&#24180;&#21327;&#20250;&#24037;&#20316;\22&#12289;&#39640;&#31471;&#20154;&#25165;&#22521;&#20859;&#36890;&#30693;\&#30465;&#31246;&#21327;&#36716;&#21457;&#20013;&#31246;&#21327;&#20851;&#20110;&#39640;&#31471;&#20154;&#25165;&#22521;&#20859;&#30340;&#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26"/>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省税协转发中税协关于高端人才培养的通知</Template>
  <Company>China</Company>
  <Pages>30</Pages>
  <Words>2211</Words>
  <Characters>12607</Characters>
  <Lines>105</Lines>
  <Paragraphs>29</Paragraphs>
  <TotalTime>39</TotalTime>
  <ScaleCrop>false</ScaleCrop>
  <LinksUpToDate>false</LinksUpToDate>
  <CharactersWithSpaces>14789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2021-05-13T06:28:00Z</dcterms:created>
  <dc:creator>Administrator</dc:creator>
  <cp:lastModifiedBy>还没想好</cp:lastModifiedBy>
  <cp:lastPrinted>2021-11-25T07:54:00Z</cp:lastPrinted>
  <dcterms:modified xsi:type="dcterms:W3CDTF">2021-11-25T08:00:15Z</dcterms:modified>
  <dc:title>关于填报2018年度税务师行业报表的通知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